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40"/>
      </w:pPr>
    </w:p>
    <w:p>
      <w:pPr>
        <w:spacing w:after="360"/>
        <w:jc w:val="center"/>
      </w:pPr>
      <w:r>
        <w:rPr>
          <w:rFonts w:ascii="Calibri" w:hAnsi="Calibri" w:eastAsia="Calibri"/>
          <w:b w:val="0"/>
          <w:i w:val="0"/>
          <w:color w:val="7A5A00"/>
          <w:sz w:val="19"/>
        </w:rPr>
        <w:t>ALGEBRA: TOWARD A POST-NON-PHILOSOPHY OF FORMATION</w:t>
      </w:r>
    </w:p>
    <w:p>
      <w:pPr>
        <w:spacing w:after="200"/>
        <w:jc w:val="center"/>
      </w:pPr>
      <w:r>
        <w:rPr>
          <w:rFonts w:ascii="Calibri" w:hAnsi="Calibri" w:eastAsia="Calibri"/>
          <w:b w:val="0"/>
          <w:i w:val="0"/>
          <w:color w:val="0B2545"/>
          <w:sz w:val="60"/>
        </w:rPr>
        <w:t>Formation Without Maxcentrism</w:t>
      </w:r>
    </w:p>
    <w:p>
      <w:pPr>
        <w:spacing w:after="1400"/>
        <w:jc w:val="center"/>
      </w:pPr>
      <w:r>
        <w:rPr>
          <w:rFonts w:ascii="Calibri" w:hAnsi="Calibri" w:eastAsia="Calibri"/>
          <w:b w:val="0"/>
          <w:i/>
          <w:color w:val="1F4D78"/>
          <w:sz w:val="30"/>
        </w:rPr>
        <w:t>Algebra and the Measure of What Can Still Become</w:t>
      </w:r>
    </w:p>
    <w:p>
      <w:pPr>
        <w:spacing w:after="100"/>
        <w:jc w:val="center"/>
      </w:pPr>
      <w:r>
        <w:rPr>
          <w:rFonts w:ascii="Calibri" w:hAnsi="Calibri" w:eastAsia="Calibri"/>
          <w:b w:val="0"/>
          <w:i w:val="0"/>
          <w:color w:val="0B2545"/>
          <w:sz w:val="24"/>
        </w:rPr>
        <w:t>Mostafa Azizi</w:t>
      </w:r>
    </w:p>
    <w:p>
      <w:pPr>
        <w:spacing w:after="0"/>
        <w:jc w:val="center"/>
      </w:pPr>
      <w:r>
        <w:rPr>
          <w:rFonts w:ascii="Calibri" w:hAnsi="Calibri" w:eastAsia="Calibri"/>
          <w:b w:val="0"/>
          <w:i w:val="0"/>
          <w:color w:val="5A6068"/>
          <w:sz w:val="20"/>
        </w:rPr>
        <w:t>September 2026</w:t>
      </w:r>
    </w:p>
    <w:p>
      <w:r>
        <w:br w:type="page"/>
      </w:r>
    </w:p>
    <w:p>
      <w:pPr>
        <w:pStyle w:val="Heading1"/>
        <w:widowControl w:val="1"/>
      </w:pPr>
      <w:r>
        <w:t>Abstract</w:t>
      </w:r>
    </w:p>
    <w:p>
      <w:pPr>
        <w:widowControl w:val="1"/>
      </w:pPr>
      <w:r>
        <w:rPr>
          <w:rFonts w:ascii="Calibri" w:hAnsi="Calibri" w:eastAsia="Calibri"/>
          <w:b w:val="0"/>
          <w:i w:val="0"/>
          <w:color w:val="191919"/>
          <w:sz w:val="22"/>
        </w:rPr>
        <w:t>This essay proposes range as the proper measure of formation. Range is not the number of possibilities that can be imagined, the sum of capacities possessed, or the maximum magnitude a being can attain. It is the effective arrangement of passages through which a formation can enter, sustain, and answer to consequential difference. From this distinction follow five others. Operative absence names a missing, withheld, unrealized, or no-longer-present term that alters those passages without appearing as a positive content. Non-return names the disappearance of a passage, not the negation of every future. Generative contraction closes possibilities while opening another field of response; terminal contraction closes them chiefly to reproduce the organization already in power. Immaturation is development accompanied by terminal contraction. Maxcentrism is the proposed name for the cognitive and cultural bias that mistakes the greatest measurable value on one axis for the truth of the whole formation. A post-non-philosophy of formation does not install range as a new highest end. It uses inherited philosophies as materials for discerning whether what has been formed remains capable of consequential transformation.</w:t>
      </w:r>
    </w:p>
    <w:p>
      <w:pPr>
        <w:pStyle w:val="Heading1"/>
        <w:widowControl w:val="1"/>
      </w:pPr>
      <w:r>
        <w:t>Algebra After the Unknown</w:t>
      </w:r>
    </w:p>
    <w:p>
      <w:pPr>
        <w:widowControl w:val="1"/>
      </w:pPr>
      <w:r>
        <w:rPr>
          <w:rFonts w:ascii="Calibri" w:hAnsi="Calibri" w:eastAsia="Calibri"/>
          <w:b w:val="0"/>
          <w:i w:val="0"/>
          <w:color w:val="191919"/>
          <w:sz w:val="22"/>
        </w:rPr>
        <w:t>Algebra begins by refusing to confuse what is unknown with what is nothing. An unknown term need not be present to inspection in order to participate in a relation. Its value may be undetermined, yet the relation is already altered by it. It limits the values that other terms can assume, places demands upon the operations that can be performed, and becomes intelligible through the transformations required to disclose it. The unknown is therefore not an empty place awaiting the arrival of content. It is a position whose effects can be followed before its value is known.</w:t>
      </w:r>
    </w:p>
    <w:p>
      <w:pPr>
        <w:widowControl w:val="1"/>
      </w:pPr>
      <w:r>
        <w:rPr>
          <w:rFonts w:ascii="Calibri" w:hAnsi="Calibri" w:eastAsia="Calibri"/>
          <w:b w:val="0"/>
          <w:i w:val="0"/>
          <w:color w:val="191919"/>
          <w:sz w:val="22"/>
        </w:rPr>
        <w:t xml:space="preserve">The history of the word gives this beginning a second register. Algebra comes to us through al-Khwarizmi's </w:t>
      </w:r>
      <w:r>
        <w:rPr>
          <w:rFonts w:ascii="Calibri" w:hAnsi="Calibri" w:eastAsia="Calibri"/>
          <w:b w:val="0"/>
          <w:i/>
          <w:color w:val="191919"/>
          <w:sz w:val="22"/>
        </w:rPr>
        <w:t>al-jabr</w:t>
      </w:r>
      <w:r>
        <w:rPr>
          <w:rFonts w:ascii="Calibri" w:hAnsi="Calibri" w:eastAsia="Calibri"/>
          <w:b w:val="0"/>
          <w:i w:val="0"/>
          <w:color w:val="191919"/>
          <w:sz w:val="22"/>
        </w:rPr>
        <w:t xml:space="preserve">, paired in the title of his ninth-century treatise with </w:t>
      </w:r>
      <w:r>
        <w:rPr>
          <w:rFonts w:ascii="Calibri" w:hAnsi="Calibri" w:eastAsia="Calibri"/>
          <w:b w:val="0"/>
          <w:i/>
          <w:color w:val="191919"/>
          <w:sz w:val="22"/>
        </w:rPr>
        <w:t>al-muqabala</w:t>
      </w:r>
      <w:r>
        <w:rPr>
          <w:rFonts w:ascii="Calibri" w:hAnsi="Calibri" w:eastAsia="Calibri"/>
          <w:b w:val="0"/>
          <w:i w:val="0"/>
          <w:color w:val="191919"/>
          <w:sz w:val="22"/>
        </w:rPr>
        <w:t xml:space="preserve">. The first names completion, the restoration of a deficient expression; the second names balancing, the cancellation of like terms across an equation. Al-Khwarizmi wrote rhetorically, without the symbolic variables that now make the unknown visible as a letter. The philosophical use proposed here is therefore not an etymological revelation, as though the meaning of formation had been hidden inside mathematics since Baghdad. It is an appropriation of algebra's practice: a way of thinking through relations by asking what must be restored, what must be balanced, what changes under an operation, and what can be inferred from a term that is not yet given. The historical distinction matters because it keeps the analogy operative instead of mythic. </w:t>
      </w:r>
      <w:hyperlink r:id="rId13">
        <w:r>
          <w:rPr>
            <w:rFonts w:ascii="Calibri" w:hAnsi="Calibri"/>
            <w:color w:val="265B8C"/>
            <w:u w:val="single"/>
            <w:sz w:val="22"/>
            <w:szCs w:val="22"/>
          </w:rPr>
          <w:t>MacTutor History of Mathematics</w:t>
        </w:r>
      </w:hyperlink>
      <w:r>
        <w:rPr>
          <w:rFonts w:ascii="Calibri" w:hAnsi="Calibri" w:eastAsia="Calibri"/>
          <w:b w:val="0"/>
          <w:i w:val="0"/>
          <w:color w:val="191919"/>
          <w:sz w:val="22"/>
        </w:rPr>
        <w:t xml:space="preserve"> provides the historical account of </w:t>
      </w:r>
      <w:r>
        <w:rPr>
          <w:rFonts w:ascii="Calibri" w:hAnsi="Calibri" w:eastAsia="Calibri"/>
          <w:b w:val="0"/>
          <w:i/>
          <w:color w:val="191919"/>
          <w:sz w:val="22"/>
        </w:rPr>
        <w:t>al-jabr</w:t>
      </w:r>
      <w:r>
        <w:rPr>
          <w:rFonts w:ascii="Calibri" w:hAnsi="Calibri" w:eastAsia="Calibri"/>
          <w:b w:val="0"/>
          <w:i w:val="0"/>
          <w:color w:val="191919"/>
          <w:sz w:val="22"/>
        </w:rPr>
        <w:t xml:space="preserve">, </w:t>
      </w:r>
      <w:r>
        <w:rPr>
          <w:rFonts w:ascii="Calibri" w:hAnsi="Calibri" w:eastAsia="Calibri"/>
          <w:b w:val="0"/>
          <w:i/>
          <w:color w:val="191919"/>
          <w:sz w:val="22"/>
        </w:rPr>
        <w:t>al-muqabala</w:t>
      </w:r>
      <w:r>
        <w:rPr>
          <w:rFonts w:ascii="Calibri" w:hAnsi="Calibri" w:eastAsia="Calibri"/>
          <w:b w:val="0"/>
          <w:i w:val="0"/>
          <w:color w:val="191919"/>
          <w:sz w:val="22"/>
        </w:rPr>
        <w:t>, and al-Khwarizmi's rhetorical method.</w:t>
      </w:r>
    </w:p>
    <w:p>
      <w:pPr>
        <w:widowControl w:val="1"/>
      </w:pPr>
      <w:r>
        <w:rPr>
          <w:rFonts w:ascii="Calibri" w:hAnsi="Calibri" w:eastAsia="Calibri"/>
          <w:b w:val="0"/>
          <w:i w:val="0"/>
          <w:color w:val="191919"/>
          <w:sz w:val="22"/>
        </w:rPr>
        <w:t>This algebraic beginning changes the order of philosophical inquiry. Thought need not first determine what a thing is, locate its essence, or establish the highest principle beneath which it belongs. It can begin with relations, constraints, transformations, and differences of effect. The first division is then not between being and nothing, but between a term and its operation. Something may be present without materially altering a field, while something absent may organize expectation, conduct, memory, perception, and response. Presence describes how a term appears. Operation describes the difference it makes. The two frequently coincide, but they are not identical.</w:t>
      </w:r>
    </w:p>
    <w:p>
      <w:pPr>
        <w:widowControl w:val="1"/>
      </w:pPr>
      <w:r>
        <w:rPr>
          <w:rFonts w:ascii="Calibri" w:hAnsi="Calibri" w:eastAsia="Calibri"/>
          <w:b w:val="0"/>
          <w:i w:val="0"/>
          <w:color w:val="191919"/>
          <w:sz w:val="22"/>
        </w:rPr>
        <w:t>Operative absence names their divergence. It is the efficacy of a missing, withheld, unrealized, prohibited, forgotten, or no-longer-present term within the relations that remain. It is not a concealed substance and not an invisible presence. Nothing has to be placed behind appearances to explain it. An unanswered letter can reorganize a friendship; a dead parent can govern a decision; a prohibited word can structure an institution; a future that never arrives can consume the present arranged in expectation of it. In every case, what is absent operates by changing the passages among what is present. Algebra supplies the initial discipline: do not ask only what the missing term is; ask what transformations disclose the difference it makes.</w:t>
      </w:r>
    </w:p>
    <w:p>
      <w:pPr>
        <w:pStyle w:val="Heading1"/>
        <w:widowControl w:val="1"/>
      </w:pPr>
      <w:r>
        <w:t>Formation and Its Inheritance</w:t>
      </w:r>
    </w:p>
    <w:p>
      <w:pPr>
        <w:widowControl w:val="1"/>
      </w:pPr>
      <w:r>
        <w:rPr>
          <w:rFonts w:ascii="Calibri" w:hAnsi="Calibri" w:eastAsia="Calibri"/>
          <w:b w:val="0"/>
          <w:i w:val="0"/>
          <w:color w:val="191919"/>
          <w:sz w:val="22"/>
        </w:rPr>
        <w:t xml:space="preserve">Once the term is distinguished from its operation, formation must be distinguished from completion. The inherited philosophical model often understands formation through the movement from potentiality to actuality. In Aristotle, actuality possesses priority because it is the end for the sake of which a capacity is acquired: sight exists for seeing, and the acorn's formation is intelligible through the oak toward which it develops. This remains one of the most powerful accounts of becoming because it refuses to treat development as arbitrary change. Yet it also makes it possible to judge a process from the standpoint of its exemplary completion. What a being is becoming is measured by the form in which its capacities reach their proper act. </w:t>
      </w:r>
      <w:hyperlink r:id="rId14">
        <w:r>
          <w:rPr>
            <w:rFonts w:ascii="Calibri" w:hAnsi="Calibri"/>
            <w:color w:val="265B8C"/>
            <w:u w:val="single"/>
            <w:sz w:val="22"/>
            <w:szCs w:val="22"/>
          </w:rPr>
          <w:t>The Stanford Encyclopedia's account of Aristotle's Metaphysics</w:t>
        </w:r>
      </w:hyperlink>
      <w:r>
        <w:rPr>
          <w:rFonts w:ascii="Calibri" w:hAnsi="Calibri" w:eastAsia="Calibri"/>
          <w:b w:val="0"/>
          <w:i w:val="0"/>
          <w:color w:val="191919"/>
          <w:sz w:val="22"/>
        </w:rPr>
        <w:t xml:space="preserve"> traces this priority of actuality through final causality.</w:t>
      </w:r>
    </w:p>
    <w:p>
      <w:pPr>
        <w:widowControl w:val="1"/>
      </w:pPr>
      <w:r>
        <w:rPr>
          <w:rFonts w:ascii="Calibri" w:hAnsi="Calibri" w:eastAsia="Calibri"/>
          <w:b w:val="0"/>
          <w:i w:val="0"/>
          <w:color w:val="191919"/>
          <w:sz w:val="22"/>
        </w:rPr>
        <w:t>The present argument does not abolish ends, excellence, fulfillment, or the realization of capacity. It suspends the assumption that one highest realization can exhaust the meaning of a formation. Formation does not name the progressive disclosure of an essence already waiting at the end of development. It names the alteration of capacities, relations, dispositions, thresholds, and passages through which a being becomes capable of continuing differently. A formation is therefore not known only by what it has acquired. It must also be known by what those acquisitions have enabled, foreclosed, intensified, weakened, or made irreversible.</w:t>
      </w:r>
    </w:p>
    <w:p>
      <w:pPr>
        <w:widowControl w:val="1"/>
      </w:pPr>
      <w:r>
        <w:rPr>
          <w:rFonts w:ascii="Calibri" w:hAnsi="Calibri" w:eastAsia="Calibri"/>
          <w:b w:val="0"/>
          <w:i w:val="0"/>
          <w:color w:val="191919"/>
          <w:sz w:val="22"/>
        </w:rPr>
        <w:t xml:space="preserve">The modern history of </w:t>
      </w:r>
      <w:r>
        <w:rPr>
          <w:rFonts w:ascii="Calibri" w:hAnsi="Calibri" w:eastAsia="Calibri"/>
          <w:b w:val="0"/>
          <w:i/>
          <w:color w:val="191919"/>
          <w:sz w:val="22"/>
        </w:rPr>
        <w:t>Bildung</w:t>
      </w:r>
      <w:r>
        <w:rPr>
          <w:rFonts w:ascii="Calibri" w:hAnsi="Calibri" w:eastAsia="Calibri"/>
          <w:b w:val="0"/>
          <w:i w:val="0"/>
          <w:color w:val="191919"/>
          <w:sz w:val="22"/>
        </w:rPr>
        <w:t xml:space="preserve"> already enlarges formation beyond private cultivation. In Hegel, formation belongs to persons, institutions, culture, and history; it is the process through which norms become inhabitable and embodied as second nature. This enlargement is indispensable because no person forms alone. Language, law, labor, education, architecture, ritual, family, and technology do not merely surround a subject whose development occurs elsewhere. They compose the passages through which the subject can perceive, judge, and act. Yet second nature also names a danger. What has become inhabitable can become rigid; what once enabled response can persist after the relation that justified it has disappeared. Simon Lumsden's study of </w:t>
      </w:r>
      <w:hyperlink r:id="rId15">
        <w:r>
          <w:rPr>
            <w:rFonts w:ascii="Calibri" w:hAnsi="Calibri"/>
            <w:color w:val="265B8C"/>
            <w:u w:val="single"/>
            <w:sz w:val="22"/>
            <w:szCs w:val="22"/>
          </w:rPr>
          <w:t>Hegelian Bildung</w:t>
        </w:r>
      </w:hyperlink>
      <w:r>
        <w:rPr>
          <w:rFonts w:ascii="Calibri" w:hAnsi="Calibri" w:eastAsia="Calibri"/>
          <w:b w:val="0"/>
          <w:i w:val="0"/>
          <w:color w:val="191919"/>
          <w:sz w:val="22"/>
        </w:rPr>
        <w:t xml:space="preserve"> shows how norm formation, embodiment, rigidity, atrophy, and historical transformation belong to the same process.</w:t>
      </w:r>
    </w:p>
    <w:p>
      <w:pPr>
        <w:widowControl w:val="1"/>
      </w:pPr>
      <w:r>
        <w:rPr>
          <w:rFonts w:ascii="Calibri" w:hAnsi="Calibri" w:eastAsia="Calibri"/>
          <w:b w:val="0"/>
          <w:i w:val="0"/>
          <w:color w:val="191919"/>
          <w:sz w:val="22"/>
        </w:rPr>
        <w:t>Formation cannot therefore be opposed to deformation as though one were the successful realization of form and the other its accidental failure. A formation can succeed according to its own established measures while becoming less capable of transformation. A school can raise scores while narrowing thought; an institution can improve compliance while losing judgment; a body can increase strength while becoming unable to rest or recover; a language can acquire technical precision while losing the ability to name an experience that does not fit its classifications. Formation and contraction can proceed together. The problem is not that development has failed to occur. The problem is that development itself may be the vehicle of closure.</w:t>
      </w:r>
    </w:p>
    <w:p>
      <w:pPr>
        <w:pStyle w:val="Heading1"/>
        <w:widowControl w:val="1"/>
      </w:pPr>
      <w:r>
        <w:t>Range</w:t>
      </w:r>
    </w:p>
    <w:p>
      <w:pPr>
        <w:widowControl w:val="1"/>
      </w:pPr>
      <w:r>
        <w:rPr>
          <w:rFonts w:ascii="Calibri" w:hAnsi="Calibri" w:eastAsia="Calibri"/>
          <w:b w:val="0"/>
          <w:i w:val="0"/>
          <w:color w:val="191919"/>
          <w:sz w:val="22"/>
        </w:rPr>
        <w:t>Range names the field of consequential movements effectively available to a formation. It is not the maximum distance a being could travel, the number of choices formally placed before it, or the accumulated sum of its capacities. Those definitions would quietly translate range back into magnitude and make it another possession to enlarge. Range concerns whether different passages can actually be entered, sustained, endured, and answered from within present conditions. It is the real availability of difference.</w:t>
      </w:r>
    </w:p>
    <w:p>
      <w:pPr>
        <w:widowControl w:val="1"/>
      </w:pPr>
      <w:r>
        <w:rPr>
          <w:rFonts w:ascii="Calibri" w:hAnsi="Calibri" w:eastAsia="Calibri"/>
          <w:b w:val="0"/>
          <w:i w:val="0"/>
          <w:color w:val="191919"/>
          <w:sz w:val="22"/>
        </w:rPr>
        <w:t xml:space="preserve">The distinction between possibility and range is decisive. A possibility belongs to thought whenever it can be imagined without contradiction. A passage belongs to range only when a formation can take it. A locked door still permits the thought of another room, but that room does not belong to the range of the person without a key. A society may formally permit many forms of life while arranging education, labor, family, housing, policing, and survival so that only a few can be inhabited. Amartya Sen's capability approach makes a related distinction between formal entitlement and substantive opportunity: resources or legal permission do not by themselves establish what a person is actually able to do and be. </w:t>
      </w:r>
      <w:hyperlink r:id="rId16">
        <w:r>
          <w:rPr>
            <w:rFonts w:ascii="Calibri" w:hAnsi="Calibri"/>
            <w:color w:val="265B8C"/>
            <w:u w:val="single"/>
            <w:sz w:val="22"/>
            <w:szCs w:val="22"/>
          </w:rPr>
          <w:t>The capability approach</w:t>
        </w:r>
      </w:hyperlink>
      <w:r>
        <w:rPr>
          <w:rFonts w:ascii="Calibri" w:hAnsi="Calibri" w:eastAsia="Calibri"/>
          <w:b w:val="0"/>
          <w:i w:val="0"/>
          <w:color w:val="191919"/>
          <w:sz w:val="22"/>
        </w:rPr>
        <w:t xml:space="preserve"> is an important neighbor of range for this reason. Range, however, is not limited to a theory of welfare or to humanly valued functionings. It names the transitional structure of any formation and includes passages that may be dangerous, trivial, destructive, or ethically undecided.</w:t>
      </w:r>
    </w:p>
    <w:p>
      <w:pPr>
        <w:widowControl w:val="1"/>
      </w:pPr>
      <w:r>
        <w:rPr>
          <w:rFonts w:ascii="Calibri" w:hAnsi="Calibri" w:eastAsia="Calibri"/>
          <w:b w:val="0"/>
          <w:i w:val="0"/>
          <w:color w:val="191919"/>
          <w:sz w:val="22"/>
        </w:rPr>
        <w:t xml:space="preserve">Range belongs neither wholly to a being nor wholly to its environment. It arises in their relation. A musician may possess extraordinary technique, but the range of the music also depends upon what the other musicians play, what the inherited form makes intelligible, what the room can receive, what the instrument resists, and what remains unsounded. This relationality recalls J. J. Gibson's account of affordances, in which an environment offers possibilities for action only in relation to the capacities of an organism. </w:t>
      </w:r>
      <w:hyperlink r:id="rId17">
        <w:r>
          <w:rPr>
            <w:rFonts w:ascii="Calibri" w:hAnsi="Calibri"/>
            <w:color w:val="265B8C"/>
            <w:u w:val="single"/>
            <w:sz w:val="22"/>
            <w:szCs w:val="22"/>
          </w:rPr>
          <w:t>Gibson's ecological approach</w:t>
        </w:r>
      </w:hyperlink>
      <w:r>
        <w:rPr>
          <w:rFonts w:ascii="Calibri" w:hAnsi="Calibri" w:eastAsia="Calibri"/>
          <w:b w:val="0"/>
          <w:i w:val="0"/>
          <w:color w:val="191919"/>
          <w:sz w:val="22"/>
        </w:rPr>
        <w:t xml:space="preserve"> breaks the simple division between subjective capacity and objective environment. Range adds history and irreversibility to that relation. It asks not only what the environment presently affords, but how earlier movements created, burdened, concealed, or destroyed the passages now available.</w:t>
      </w:r>
    </w:p>
    <w:p>
      <w:pPr>
        <w:widowControl w:val="1"/>
      </w:pPr>
      <w:r>
        <w:rPr>
          <w:rFonts w:ascii="Calibri" w:hAnsi="Calibri" w:eastAsia="Calibri"/>
          <w:b w:val="0"/>
          <w:i w:val="0"/>
          <w:color w:val="191919"/>
          <w:sz w:val="22"/>
        </w:rPr>
        <w:t xml:space="preserve">Range is therefore topological before it is numerical. The word is used here in a limited but exact sense: range concerns the arrangement and reachability of passages among states. Which transitions are accessible? Which require disproportionate force? Which can be sustained once entered? Which disappear after a decision? Which become possible only through encounter? W. Ross Ashby's cybernetics provides a rigorous neighboring vocabulary of states and transformations, and it shows how the variety of an isolated determinate system tends to diminish as multiple trajectories enter the same basin. </w:t>
      </w:r>
      <w:hyperlink r:id="rId18">
        <w:r>
          <w:rPr>
            <w:rFonts w:ascii="Calibri" w:hAnsi="Calibri"/>
            <w:color w:val="265B8C"/>
            <w:u w:val="single"/>
            <w:sz w:val="22"/>
            <w:szCs w:val="22"/>
          </w:rPr>
          <w:t>Ashby's An Introduction to Cybernetics</w:t>
        </w:r>
      </w:hyperlink>
      <w:r>
        <w:rPr>
          <w:rFonts w:ascii="Calibri" w:hAnsi="Calibri" w:eastAsia="Calibri"/>
          <w:b w:val="0"/>
          <w:i w:val="0"/>
          <w:color w:val="191919"/>
          <w:sz w:val="22"/>
        </w:rPr>
        <w:t xml:space="preserve"> makes possible a formal description of state transition and lost variety. But range cannot be identified with cybernetic variety. Ten doors leading to the same room do not constitute greater range than one door opening onto a different form of life. Counting states cannot tell us whether their connecting passages are usable, whether they alter the future, or whether difference has been multiplied only in order to reproduce the same result.</w:t>
      </w:r>
    </w:p>
    <w:p>
      <w:pPr>
        <w:widowControl w:val="1"/>
      </w:pPr>
      <w:r>
        <w:rPr>
          <w:rFonts w:ascii="Calibri" w:hAnsi="Calibri" w:eastAsia="Calibri"/>
          <w:b w:val="0"/>
          <w:i w:val="0"/>
          <w:color w:val="191919"/>
          <w:sz w:val="22"/>
        </w:rPr>
        <w:t>The topology of range includes friction, thresholds, sequence, and time. Two formations may possess the same apparent capacities while inhabiting different ranges because the paths connecting those capacities differ. One can move among them; the other remains trapped inside an accumulation it cannot transform. A person may know how to apologize yet be unable to cross the affective threshold required to do it. An institution may possess a procedure for correction while ensuring that anyone who invokes it loses the standing needed to be heard. A society may celebrate innovation while directing every innovation toward the reproduction of a single economic demand. In each case, nominal capacity survives while practical passage disappears.</w:t>
      </w:r>
    </w:p>
    <w:p>
      <w:pPr>
        <w:pStyle w:val="Heading1"/>
        <w:widowControl w:val="1"/>
      </w:pPr>
      <w:r>
        <w:t>The Maximum and Its Center</w:t>
      </w:r>
    </w:p>
    <w:p>
      <w:pPr>
        <w:widowControl w:val="1"/>
      </w:pPr>
      <w:r>
        <w:rPr>
          <w:rFonts w:ascii="Calibri" w:hAnsi="Calibri" w:eastAsia="Calibri"/>
          <w:b w:val="0"/>
          <w:i w:val="0"/>
          <w:color w:val="191919"/>
          <w:sz w:val="22"/>
        </w:rPr>
        <w:t>This distinction allows magnitude and range to be divided. Magnitude concerns the degree to which a capacity has been intensified along an established axis: how much, how fast, how strong, how productive, how complex, how profitable. Range concerns the consequentially different courses that remain accessible to the formation exercising that capacity. Increased magnitude may enlarge range, leave it unchanged, or diminish it. Greater wealth may make new lives possible, or it may bind a person more completely to the activity through which the wealth must be maintained. Greater technical power may increase the number of operations a system can perform while narrowing the purposes it is permitted to serve. A formation can become extraordinarily powerful in one direction while becoming incapable of changing direction at all.</w:t>
      </w:r>
    </w:p>
    <w:p>
      <w:pPr>
        <w:widowControl w:val="1"/>
      </w:pPr>
      <w:r>
        <w:rPr>
          <w:rFonts w:ascii="Calibri" w:hAnsi="Calibri" w:eastAsia="Calibri"/>
          <w:b w:val="0"/>
          <w:i w:val="0"/>
          <w:color w:val="191919"/>
          <w:sz w:val="22"/>
        </w:rPr>
        <w:t>Maxcentrism is the proposed name for the bias that conceals this divergence. It is a cognitive and cultural tendency to treat the greatest measurable magnitude as the most significant, desirable, or developed state of a thing. The bias does not consist in perceiving a maximum. It consists in allowing the maximum to organize perception before the particular formation has disclosed what matters within it. Peaks, records, extremes, winners, outputs, scale, and exemplary performances become self-validating evidence of successful development. Maintenance, recovery, hesitation, responsiveness, ordinary variation, and the capacity to relinquish power become secondary because they do not appear on the ascending axis selected in advance.</w:t>
      </w:r>
    </w:p>
    <w:p>
      <w:pPr>
        <w:widowControl w:val="1"/>
      </w:pPr>
      <w:r>
        <w:rPr>
          <w:rFonts w:ascii="Calibri" w:hAnsi="Calibri" w:eastAsia="Calibri"/>
          <w:b w:val="0"/>
          <w:i w:val="0"/>
          <w:color w:val="191919"/>
          <w:sz w:val="22"/>
        </w:rPr>
        <w:t xml:space="preserve">Maxcentrism is not identical with the psychological strategy called maximizing. Research on maximizing and satisficing concerns how people search among alternatives and whether they require the best available option before choosing. The original studies associated maximizing tendencies with greater regret, comparison, perfectionism, and lower satisfaction across several samples. </w:t>
      </w:r>
      <w:hyperlink r:id="rId19">
        <w:r>
          <w:rPr>
            <w:rFonts w:ascii="Calibri" w:hAnsi="Calibri"/>
            <w:color w:val="265B8C"/>
            <w:u w:val="single"/>
            <w:sz w:val="22"/>
            <w:szCs w:val="22"/>
          </w:rPr>
          <w:t>Schwartz and colleagues' 2002 study</w:t>
        </w:r>
      </w:hyperlink>
      <w:r>
        <w:rPr>
          <w:rFonts w:ascii="Calibri" w:hAnsi="Calibri" w:eastAsia="Calibri"/>
          <w:b w:val="0"/>
          <w:i w:val="0"/>
          <w:color w:val="191919"/>
          <w:sz w:val="22"/>
        </w:rPr>
        <w:t xml:space="preserve"> is the established point of reference. Maxcentrism names a broader error. One need not personally seek the best option to inhabit a maxcentric institution, and an institution need not maximize every variable. The error occurs whenever the highest value on a selected scale is treated as the truth of the whole formation, allowing unmeasured losses of range to disappear from judgment.</w:t>
      </w:r>
    </w:p>
    <w:p>
      <w:pPr>
        <w:widowControl w:val="1"/>
      </w:pPr>
      <w:r>
        <w:rPr>
          <w:rFonts w:ascii="Calibri" w:hAnsi="Calibri" w:eastAsia="Calibri"/>
          <w:b w:val="0"/>
          <w:i w:val="0"/>
          <w:color w:val="191919"/>
          <w:sz w:val="22"/>
        </w:rPr>
        <w:t>This is why maxcentrism cannot be corrected by choosing a better maximum. If productivity has narrowed a life, replacing it with a command to maximize wellness preserves the same grammar. Rest becomes another performance; receptivity becomes a technique for increasing output; friendship becomes social capital; play becomes developmental optimization; even refusal is evaluated by the advantage it produces. The content of the summit has changed, but ascent remains sovereign. Maxcentrism is less a doctrine about which end is highest than a habit of converting every difference into a position on an ascending scale.</w:t>
      </w:r>
    </w:p>
    <w:p>
      <w:pPr>
        <w:widowControl w:val="1"/>
      </w:pPr>
      <w:r>
        <w:rPr>
          <w:rFonts w:ascii="Calibri" w:hAnsi="Calibri" w:eastAsia="Calibri"/>
          <w:b w:val="0"/>
          <w:i w:val="0"/>
          <w:color w:val="191919"/>
          <w:sz w:val="22"/>
        </w:rPr>
        <w:t>Nor is this an argument against the maximum. Maximality may belong fully to a formation's range. There are moments when the necessary movement is acceleration, virtuosity, abundance, excess, total exertion, or carrying a capacity as far as it can go. To prohibit such moments in the name of moderation would remain maxcentric, now organized negatively around the maximum as a permanent danger. Range includes the maximum while refusing its sovereignty. It permits a formation to rise to its greatest intensity, but also to soften, pause, descend, repeat, withdraw, or reorganize when another movement becomes necessary.</w:t>
      </w:r>
    </w:p>
    <w:p>
      <w:pPr>
        <w:widowControl w:val="1"/>
      </w:pPr>
      <w:r>
        <w:rPr>
          <w:rFonts w:ascii="Calibri" w:hAnsi="Calibri" w:eastAsia="Calibri"/>
          <w:b w:val="0"/>
          <w:i w:val="0"/>
          <w:color w:val="191919"/>
          <w:sz w:val="22"/>
        </w:rPr>
        <w:t>Jazz demonstrates the distinction. A performance may reach tremendous speed, volume, complexity, and force without becoming maxcentric, provided these intensities arise from the movement of the music rather than being imposed as its permanent destination. The maximum appears, does its work, and relinquishes command. Silence can answer it. A quieter phrase can transform its meaning. What matters is not whether the performance reaches a peak, but whether the peak remains inside a field of response. Range is not the prevention of extremity. It is the preservation of the relations through which extremity can cease to be compulsory.</w:t>
      </w:r>
    </w:p>
    <w:p>
      <w:pPr>
        <w:pStyle w:val="Heading1"/>
        <w:widowControl w:val="1"/>
      </w:pPr>
      <w:r>
        <w:t>Contraction</w:t>
      </w:r>
    </w:p>
    <w:p>
      <w:pPr>
        <w:widowControl w:val="1"/>
      </w:pPr>
      <w:r>
        <w:rPr>
          <w:rFonts w:ascii="Calibri" w:hAnsi="Calibri" w:eastAsia="Calibri"/>
          <w:b w:val="0"/>
          <w:i w:val="0"/>
          <w:color w:val="191919"/>
          <w:sz w:val="22"/>
        </w:rPr>
        <w:t>Range cannot itself become the new maximum. If every formation were judged by how many movements it preserved, openness would merely replace intensity as the new summit. A life incapable of commitment might retain innumerable possibilities while preventing any of them from becoming consequential. Nothing would be risked, no obligation could take hold, and no event would be permitted to divide the future into a before and an after. Indefinite optionality is not range. It can be the refusal of formation.</w:t>
      </w:r>
    </w:p>
    <w:p>
      <w:pPr>
        <w:widowControl w:val="1"/>
      </w:pPr>
      <w:r>
        <w:rPr>
          <w:rFonts w:ascii="Calibri" w:hAnsi="Calibri" w:eastAsia="Calibri"/>
          <w:b w:val="0"/>
          <w:i w:val="0"/>
          <w:color w:val="191919"/>
          <w:sz w:val="22"/>
        </w:rPr>
        <w:t>Every actual formation contracts range. To speak is to select one word rather than another. To compose is to exclude sounds. To act is to close the condition in which several actions remained available. To learn is to lose certain forms of innocence. To love is to accept obligations that make other lives unavailable. These contractions are not unfortunate residues that a perfect formation would eliminate. They give depth, continuity, and consequence to movements that would otherwise remain merely possible. Formation requires determination, and determination is irreversible.</w:t>
      </w:r>
    </w:p>
    <w:p>
      <w:pPr>
        <w:widowControl w:val="1"/>
      </w:pPr>
      <w:r>
        <w:rPr>
          <w:rFonts w:ascii="Calibri" w:hAnsi="Calibri" w:eastAsia="Calibri"/>
          <w:b w:val="0"/>
          <w:i w:val="0"/>
          <w:color w:val="191919"/>
          <w:sz w:val="22"/>
        </w:rPr>
        <w:t>The decisive question is therefore not whether range has contracted, but what the contraction does. A generative contraction closes certain paths while creating relations, perceptions, responsibilities, and capacities that did not previously exist. A terminal contraction closes paths chiefly to preserve the organization already in power. The first makes an irreversible commitment through which another field of response appears. The second converts irreversibility into confinement. Their difference cannot be calculated by counting the options that have been lost. It must be discerned in what becomes possible through the loss.</w:t>
      </w:r>
    </w:p>
    <w:p>
      <w:pPr>
        <w:widowControl w:val="1"/>
      </w:pPr>
      <w:r>
        <w:rPr>
          <w:rFonts w:ascii="Calibri" w:hAnsi="Calibri" w:eastAsia="Calibri"/>
          <w:b w:val="0"/>
          <w:i w:val="0"/>
          <w:color w:val="191919"/>
          <w:sz w:val="22"/>
        </w:rPr>
        <w:t>Jazz and the march now divide more sharply. Once a phrase is played, the music cannot return to the state in which that phrase had not occurred. Every note contracts the field, yet it also changes the meaning of every note that may follow. Improvisation is disciplined passage through irreversible decisions. The march also proceeds irreversibly, but its successive movements confirm a destination fixed in advance. Jazz forms a future from what has happened. The march makes what happens answer to a future already commanded. The difference is not freedom against constraint, noise against order, or novelty against repetition. It is generative contraction against terminal contraction.</w:t>
      </w:r>
    </w:p>
    <w:p>
      <w:pPr>
        <w:widowControl w:val="1"/>
      </w:pPr>
      <w:r>
        <w:rPr>
          <w:rFonts w:ascii="Calibri" w:hAnsi="Calibri" w:eastAsia="Calibri"/>
          <w:b w:val="0"/>
          <w:i w:val="0"/>
          <w:color w:val="191919"/>
          <w:sz w:val="22"/>
        </w:rPr>
        <w:t xml:space="preserve">This distinction inherits something from Hegel and stops short of Hegelian assurance. </w:t>
      </w:r>
      <w:r>
        <w:rPr>
          <w:rFonts w:ascii="Calibri" w:hAnsi="Calibri" w:eastAsia="Calibri"/>
          <w:b w:val="0"/>
          <w:i/>
          <w:color w:val="191919"/>
          <w:sz w:val="22"/>
        </w:rPr>
        <w:t>Aufheben</w:t>
      </w:r>
      <w:r>
        <w:rPr>
          <w:rFonts w:ascii="Calibri" w:hAnsi="Calibri" w:eastAsia="Calibri"/>
          <w:b w:val="0"/>
          <w:i w:val="0"/>
          <w:color w:val="191919"/>
          <w:sz w:val="22"/>
        </w:rPr>
        <w:t xml:space="preserve"> names a movement that both cancels and preserves; a determination passes into another through a negation that yields a positive result. </w:t>
      </w:r>
      <w:hyperlink r:id="rId20">
        <w:r>
          <w:rPr>
            <w:rFonts w:ascii="Calibri" w:hAnsi="Calibri"/>
            <w:color w:val="265B8C"/>
            <w:u w:val="single"/>
            <w:sz w:val="22"/>
            <w:szCs w:val="22"/>
          </w:rPr>
          <w:t>The account of Hegelian sublation</w:t>
        </w:r>
      </w:hyperlink>
      <w:r>
        <w:rPr>
          <w:rFonts w:ascii="Calibri" w:hAnsi="Calibri" w:eastAsia="Calibri"/>
          <w:b w:val="0"/>
          <w:i w:val="0"/>
          <w:color w:val="191919"/>
          <w:sz w:val="22"/>
        </w:rPr>
        <w:t xml:space="preserve"> remains indispensable wherever formation is understood as transformation through loss rather than simple accumulation. But the algebra of range cannot assume that every negation is preserved within a higher unity. Some passages disappear without compensation. Some injuries organize every subsequent movement around their avoidance. Some histories produce no standpoint from which their losses can be declared necessary moments of a completed whole.</w:t>
      </w:r>
    </w:p>
    <w:p>
      <w:pPr>
        <w:widowControl w:val="1"/>
      </w:pPr>
      <w:r>
        <w:rPr>
          <w:rFonts w:ascii="Calibri" w:hAnsi="Calibri" w:eastAsia="Calibri"/>
          <w:b w:val="0"/>
          <w:i w:val="0"/>
          <w:color w:val="191919"/>
          <w:sz w:val="22"/>
        </w:rPr>
        <w:t xml:space="preserve">Bataille's confrontation with Hegel places pressure precisely here. In sacrifice, death becomes spectacle, and discourse can return afterward to assign useful ends to what occurred. Bataille's challenge is not that nothing returns, but that the experience of loss cannot be made identical with the knowledge that later recuperates it. His </w:t>
      </w:r>
      <w:hyperlink r:id="rId21">
        <w:r>
          <w:rPr>
            <w:rFonts w:ascii="Calibri" w:hAnsi="Calibri"/>
            <w:color w:val="265B8C"/>
            <w:u w:val="single"/>
            <w:sz w:val="22"/>
            <w:szCs w:val="22"/>
          </w:rPr>
          <w:t>“Hegel, Death and Sacrifice”</w:t>
        </w:r>
      </w:hyperlink>
      <w:r>
        <w:rPr>
          <w:rFonts w:ascii="Calibri" w:hAnsi="Calibri" w:eastAsia="Calibri"/>
          <w:b w:val="0"/>
          <w:i w:val="0"/>
          <w:color w:val="191919"/>
          <w:sz w:val="22"/>
        </w:rPr>
        <w:t xml:space="preserve"> exposes the interval between expenditure and the discourse that subsequently makes expenditure serve. Non-return can therefore be defined without romanticizing sheer loss. It is the disappearance of an internal passage. It does not mean that no future follows, only that what follows cannot restore the field that existed before.</w:t>
      </w:r>
    </w:p>
    <w:p>
      <w:pPr>
        <w:pStyle w:val="Heading1"/>
        <w:widowControl w:val="1"/>
      </w:pPr>
      <w:r>
        <w:t>Immaturation</w:t>
      </w:r>
    </w:p>
    <w:p>
      <w:pPr>
        <w:widowControl w:val="1"/>
      </w:pPr>
      <w:r>
        <w:rPr>
          <w:rFonts w:ascii="Calibri" w:hAnsi="Calibri" w:eastAsia="Calibri"/>
          <w:b w:val="0"/>
          <w:i w:val="0"/>
          <w:color w:val="191919"/>
          <w:sz w:val="22"/>
        </w:rPr>
        <w:t>Immaturation names development through terminal contraction. It is not incompleteness, because every living formation remains incomplete. It is not immaturity, because a child may possess extraordinary range while an accomplished adult has become incapable of interruption. It is not regression, because the formation may continue to advance according to every public indicator available to it. Immaturation occurs when knowledge, authority, wealth, strength, productivity, refinement, or technical capacity increases while the ability to listen, alter course, receive interruption, relinquish command, repair a relation, or enter an unfamiliar form of life disappears.</w:t>
      </w:r>
    </w:p>
    <w:p>
      <w:pPr>
        <w:widowControl w:val="1"/>
      </w:pPr>
      <w:r>
        <w:rPr>
          <w:rFonts w:ascii="Calibri" w:hAnsi="Calibri" w:eastAsia="Calibri"/>
          <w:b w:val="0"/>
          <w:i w:val="0"/>
          <w:color w:val="191919"/>
          <w:sz w:val="22"/>
        </w:rPr>
        <w:t>The concept is necessary because the language of failure cannot describe this condition. Nothing has necessarily broken. No single culprit must be present. Each local improvement may be real, and each decision may be defensible according to the measure governing it. The contraction becomes visible only at the level of the formation as a whole, where capacities that once communicated with one another have become isolated, thresholds have risen, and departures have become prohibitively costly. Immaturation is degradation without a required culprit and success without sufficient formation.</w:t>
      </w:r>
    </w:p>
    <w:p>
      <w:pPr>
        <w:widowControl w:val="1"/>
      </w:pPr>
      <w:r>
        <w:rPr>
          <w:rFonts w:ascii="Calibri" w:hAnsi="Calibri" w:eastAsia="Calibri"/>
          <w:b w:val="0"/>
          <w:i w:val="0"/>
          <w:color w:val="191919"/>
          <w:sz w:val="22"/>
        </w:rPr>
        <w:t>Its characteristic appearance is growth. A bureaucracy adds procedures until judgment becomes impossible. A discipline adds specialization until its objects can no longer speak across subfields. A person adds defenses until no encounter can reach the vulnerability the defenses were built to protect. A civilization adds power until it can answer every problem only through a further exercise of power. In each case, magnitude conceals topological impoverishment. The march grows louder while becoming capable only of marching.</w:t>
      </w:r>
    </w:p>
    <w:p>
      <w:pPr>
        <w:widowControl w:val="1"/>
      </w:pPr>
      <w:r>
        <w:rPr>
          <w:rFonts w:ascii="Calibri" w:hAnsi="Calibri" w:eastAsia="Calibri"/>
          <w:b w:val="0"/>
          <w:i w:val="0"/>
          <w:color w:val="191919"/>
          <w:sz w:val="22"/>
        </w:rPr>
        <w:t>This is also why immaturation cannot be cured simply by restoring a previous state. Range is not reversibility. Learning a language, becoming responsible for another person, surviving a catastrophe, or hearing a phrase that changes the song can make return impossible while enlarging the movements available afterward. Formation does not preserve the past intact. It preserves the capacity for consequential passage after the irreversible has occurred. The cure for terminal contraction is not always recovery of what was lost; it may be the formation of a passage that did not previously exist.</w:t>
      </w:r>
    </w:p>
    <w:p>
      <w:pPr>
        <w:pStyle w:val="Heading1"/>
        <w:widowControl w:val="1"/>
      </w:pPr>
      <w:r>
        <w:t>Operative Absence</w:t>
      </w:r>
    </w:p>
    <w:p>
      <w:pPr>
        <w:widowControl w:val="1"/>
      </w:pPr>
      <w:r>
        <w:rPr>
          <w:rFonts w:ascii="Calibri" w:hAnsi="Calibri" w:eastAsia="Calibri"/>
          <w:b w:val="0"/>
          <w:i w:val="0"/>
          <w:color w:val="191919"/>
          <w:sz w:val="22"/>
        </w:rPr>
        <w:t>Operative absence acts directly upon this arrangement of passages. An absent person may keep a promise binding or make a room uninhabitable. An unrealized future may organize decades of work. A withheld response may suspend a decision. A forgotten practice may narrow what a community can recognize as possible. A prohibited word may force experience into the vocabulary of the institution that prohibited it. Absence operates not by secretly becoming present, but by redistributing accessibility, pressure, expectation, and response within the field.</w:t>
      </w:r>
    </w:p>
    <w:p>
      <w:pPr>
        <w:widowControl w:val="1"/>
      </w:pPr>
      <w:r>
        <w:rPr>
          <w:rFonts w:ascii="Calibri" w:hAnsi="Calibri" w:eastAsia="Calibri"/>
          <w:b w:val="0"/>
          <w:i w:val="0"/>
          <w:color w:val="191919"/>
          <w:sz w:val="22"/>
        </w:rPr>
        <w:t xml:space="preserve">Derrida's trace prevents this account from hardening into an ontology of invisible things. The trace is not a presence hidden behind presence; it is constituted through displacement, referral, and erasure. Différance interrupts the clean alternative according to which something must be either present or absent before it can have an effect. Derrida writes that the trace has no stable site because erasure belongs to its structure. </w:t>
      </w:r>
      <w:hyperlink r:id="rId22">
        <w:r>
          <w:rPr>
            <w:rFonts w:ascii="Calibri" w:hAnsi="Calibri"/>
            <w:color w:val="265B8C"/>
            <w:u w:val="single"/>
            <w:sz w:val="22"/>
            <w:szCs w:val="22"/>
          </w:rPr>
          <w:t>“Différance”</w:t>
        </w:r>
      </w:hyperlink>
      <w:r>
        <w:rPr>
          <w:rFonts w:ascii="Calibri" w:hAnsi="Calibri" w:eastAsia="Calibri"/>
          <w:b w:val="0"/>
          <w:i w:val="0"/>
          <w:color w:val="191919"/>
          <w:sz w:val="22"/>
        </w:rPr>
        <w:t xml:space="preserve"> therefore supplies a necessary discipline: the absent must not be reconstructed as a substance merely because its operation can be followed.</w:t>
      </w:r>
    </w:p>
    <w:p>
      <w:pPr>
        <w:widowControl w:val="1"/>
      </w:pPr>
      <w:r>
        <w:rPr>
          <w:rFonts w:ascii="Calibri" w:hAnsi="Calibri" w:eastAsia="Calibri"/>
          <w:b w:val="0"/>
          <w:i w:val="0"/>
          <w:color w:val="191919"/>
          <w:sz w:val="22"/>
        </w:rPr>
        <w:t>Operative absence nevertheless makes a different demand. It asks for a functional account of the passages an absence alters. The trace complicates the metaphysical opposition between presence and absence; operative absence investigates the reorganizations that follow from a particular absence in a particular formation. Is the absence soliciting a response, suspending one, or preventing one? Does it preserve an interval in which another movement can emerge, or does it bind the field to a loss that no longer permits departure? Is it intermittent, changing with the return of a person, practice, or resource, or permanent, requiring the formation of a life that no restoration can complete? These questions do not identify the essence of absence. They trace its work.</w:t>
      </w:r>
    </w:p>
    <w:p>
      <w:pPr>
        <w:widowControl w:val="1"/>
      </w:pPr>
      <w:r>
        <w:rPr>
          <w:rFonts w:ascii="Calibri" w:hAnsi="Calibri" w:eastAsia="Calibri"/>
          <w:b w:val="0"/>
          <w:i w:val="0"/>
          <w:color w:val="191919"/>
          <w:sz w:val="22"/>
        </w:rPr>
        <w:t>Operative absence is therefore neither emancipatory nor destructive in itself. Silence can make listening possible or make testimony impossible. The absence of command can open improvisation or abandon those who required protection. Forgetting can release a formation from repetition or deprive it of the warning carried by an injury. What matters is not the moral sign attached to absence in advance, but the contraction, suspension, solicitation, or generation of range produced through it. The algebra remains relational: the same absent term can perform different operations in different fields.</w:t>
      </w:r>
    </w:p>
    <w:p>
      <w:pPr>
        <w:pStyle w:val="Heading1"/>
        <w:widowControl w:val="1"/>
      </w:pPr>
      <w:r>
        <w:t>After Non-Philosophy</w:t>
      </w:r>
    </w:p>
    <w:p>
      <w:pPr>
        <w:widowControl w:val="1"/>
      </w:pPr>
      <w:r>
        <w:rPr>
          <w:rFonts w:ascii="Calibri" w:hAnsi="Calibri" w:eastAsia="Calibri"/>
          <w:b w:val="0"/>
          <w:i w:val="0"/>
          <w:color w:val="191919"/>
          <w:sz w:val="22"/>
        </w:rPr>
        <w:t xml:space="preserve">This is where Algebra becomes a post-non-philosophy of formation. Philosophy has repeatedly sought the proper end, highest principle, essential form, or final measure through which beings become intelligible. Non-philosophy interrupts philosophy's confidence that its own decision can legislate the Real. In François Laruelle's work, philosophy is no longer the sovereign form of thought but one material among others, available for a non-philosophical practice that does not confuse its constructions with the Real itself. </w:t>
      </w:r>
      <w:hyperlink r:id="rId23">
        <w:r>
          <w:rPr>
            <w:rFonts w:ascii="Calibri" w:hAnsi="Calibri"/>
            <w:color w:val="265B8C"/>
            <w:u w:val="single"/>
            <w:sz w:val="22"/>
            <w:szCs w:val="22"/>
          </w:rPr>
          <w:t>Principles of Non-Philosophy</w:t>
        </w:r>
      </w:hyperlink>
      <w:r>
        <w:rPr>
          <w:rFonts w:ascii="Calibri" w:hAnsi="Calibri" w:eastAsia="Calibri"/>
          <w:b w:val="0"/>
          <w:i w:val="0"/>
          <w:color w:val="191919"/>
          <w:sz w:val="22"/>
        </w:rPr>
        <w:t xml:space="preserve"> gives the mature formulation of this project; Keith Whitmoyer's </w:t>
      </w:r>
      <w:hyperlink r:id="rId24">
        <w:r>
          <w:rPr>
            <w:rFonts w:ascii="Calibri" w:hAnsi="Calibri"/>
            <w:color w:val="265B8C"/>
            <w:u w:val="single"/>
            <w:sz w:val="22"/>
            <w:szCs w:val="22"/>
          </w:rPr>
          <w:t>review for Notre Dame Philosophical Reviews</w:t>
        </w:r>
      </w:hyperlink>
      <w:r>
        <w:rPr>
          <w:rFonts w:ascii="Calibri" w:hAnsi="Calibri" w:eastAsia="Calibri"/>
          <w:b w:val="0"/>
          <w:i w:val="0"/>
          <w:color w:val="191919"/>
          <w:sz w:val="22"/>
        </w:rPr>
        <w:t xml:space="preserve"> emphasizes its reversal of philosophical sufficiency and its use of philosophy as material.</w:t>
      </w:r>
    </w:p>
    <w:p>
      <w:pPr>
        <w:widowControl w:val="1"/>
      </w:pPr>
      <w:r>
        <w:rPr>
          <w:rFonts w:ascii="Calibri" w:hAnsi="Calibri" w:eastAsia="Calibri"/>
          <w:b w:val="0"/>
          <w:i w:val="0"/>
          <w:color w:val="191919"/>
          <w:sz w:val="22"/>
        </w:rPr>
        <w:t>The “post” in post-non-philosophy does not announce that non-philosophy has been refuted, completed, or left behind. It names what becomes possible when its suspension is made formative. If philosophy can no longer appoint itself the sovereign measure of the Real, thought must still decide how to work with the materials philosophy has produced. Suspension cannot be the terminus, because the interruption of authority also changes the range of thought. Post-non-philosophy begins from that changed field. It asks what operations inherited concepts now make possible when none is permitted to command the end.</w:t>
      </w:r>
    </w:p>
    <w:p>
      <w:pPr>
        <w:widowControl w:val="1"/>
      </w:pPr>
      <w:r>
        <w:rPr>
          <w:rFonts w:ascii="Calibri" w:hAnsi="Calibri" w:eastAsia="Calibri"/>
          <w:b w:val="0"/>
          <w:i w:val="0"/>
          <w:color w:val="191919"/>
          <w:sz w:val="22"/>
        </w:rPr>
        <w:t>Hegelian sublation can then be used without guaranteeing total return. Bataillean expenditure can expose loss without making loss sovereign. Derridean différance can undo the rule of presence without turning undecidability into paralysis. Laruellean suspension can deprive philosophy of sufficiency without depriving thought of invention. Aristotle, Hegel, Bataille, Derrida, Laruelle, cybernetics, ecological psychology, and the capability approach become neither stages in a final history nor authorities to be reconciled within a higher doctrine. They become materials whose differences alter what the present formation of thought can do.</w:t>
      </w:r>
    </w:p>
    <w:p>
      <w:pPr>
        <w:widowControl w:val="1"/>
      </w:pPr>
      <w:r>
        <w:rPr>
          <w:rFonts w:ascii="Calibri" w:hAnsi="Calibri" w:eastAsia="Calibri"/>
          <w:b w:val="0"/>
          <w:i w:val="0"/>
          <w:color w:val="191919"/>
          <w:sz w:val="22"/>
        </w:rPr>
        <w:t>This is also why Algebra remains algebra after it has moved beyond the initial analogy. Its concepts function through ordered distinctions. Range is the field of effective passages. Formation is the alteration of that field. Operative absence is a term that alters the field without appearing among its positive contents. Non-return is the disappearance of an internal passage. Generative contraction closes paths while producing another field of response. Terminal contraction closes paths chiefly to reproduce the organization already in power. Immaturation is development through terminal contraction. Maxcentrism is the bias that mistakes increased magnitude for successful formation. These are not names for hidden substances. They are instruments for discerning operations.</w:t>
      </w:r>
    </w:p>
    <w:p>
      <w:pPr>
        <w:pStyle w:val="Heading1"/>
        <w:widowControl w:val="1"/>
      </w:pPr>
      <w:r>
        <w:t>The Measure That Does Not Command the End</w:t>
      </w:r>
    </w:p>
    <w:p>
      <w:pPr>
        <w:widowControl w:val="1"/>
      </w:pPr>
      <w:r>
        <w:rPr>
          <w:rFonts w:ascii="Calibri" w:hAnsi="Calibri" w:eastAsia="Calibri"/>
          <w:b w:val="0"/>
          <w:i w:val="0"/>
          <w:color w:val="191919"/>
          <w:sz w:val="22"/>
        </w:rPr>
        <w:t>A formation without maxcentrism is not a formation without measure. Its measure is whether its determinations leave it capable of further consequential movement. This measure is normative, but it does not prescribe a universal terminus. It cannot tell every person, practice, institution, or civilization which state it must reach. It asks instead whether the state that has been reached has made itself destiny, whether its powers can be relinquished, whether interruption can be received, whether an encounter can reorganize what appears necessary, and whether loss has generated a future or confined the future to repetition.</w:t>
      </w:r>
    </w:p>
    <w:p>
      <w:pPr>
        <w:widowControl w:val="1"/>
      </w:pPr>
      <w:r>
        <w:rPr>
          <w:rFonts w:ascii="Calibri" w:hAnsi="Calibri" w:eastAsia="Calibri"/>
          <w:b w:val="0"/>
          <w:i w:val="0"/>
          <w:color w:val="191919"/>
          <w:sz w:val="22"/>
        </w:rPr>
        <w:t>Range must therefore be preserved from its own sovereignty. It is not always better to have more passages, and no formation can remain answerable by refusing every determination. The point is not to keep all doors open. It is to distinguish the door whose closing makes a dwelling possible from the door whose locking makes departure impossible. This distinction is contextual and cannot be settled by one calculation performed in advance. It requires judgment within the relations being formed.</w:t>
      </w:r>
    </w:p>
    <w:p>
      <w:pPr>
        <w:widowControl w:val="1"/>
      </w:pPr>
      <w:r>
        <w:rPr>
          <w:rFonts w:ascii="Calibri" w:hAnsi="Calibri" w:eastAsia="Calibri"/>
          <w:b w:val="0"/>
          <w:i w:val="0"/>
          <w:color w:val="191919"/>
          <w:sz w:val="22"/>
        </w:rPr>
        <w:t>The maximum can now return without becoming the center. A formation may reach the height of its strength, speed, intensity, abundance, precision, or beauty. Nothing in this argument asks it to remain small. What matters is whether the height becomes a passage or a throne. A passage changes what can happen next and allows another movement to answer it. A throne reorganizes every movement around its own preservation. Maximality is an event within range. Maxcentrism begins when the event claims sovereignty over formation.</w:t>
      </w:r>
    </w:p>
    <w:p>
      <w:pPr>
        <w:widowControl w:val="1"/>
      </w:pPr>
      <w:r>
        <w:rPr>
          <w:rFonts w:ascii="Calibri" w:hAnsi="Calibri" w:eastAsia="Calibri"/>
          <w:b w:val="0"/>
          <w:i w:val="0"/>
          <w:color w:val="191919"/>
          <w:sz w:val="22"/>
        </w:rPr>
        <w:t>Formation is therefore not the movement of a being toward its highest possible state, but the preservation and transformation of its available range. Preservation here does not mean keeping possibilities untouched. It means carrying the capacity for consequential difference through the losses, commitments, exclusions, and irreversible decisions by which anything becomes formed at all. The question is no longer whether a being has become the most that it can be. It is whether what it has become can still be transformed by what it encounters.</w:t>
      </w:r>
    </w:p>
    <w:p>
      <w:pPr>
        <w:pStyle w:val="Heading1"/>
        <w:pageBreakBefore/>
        <w:widowControl w:val="1"/>
      </w:pPr>
      <w:r>
        <w:t>Notes and Sources</w:t>
      </w:r>
    </w:p>
    <w:p>
      <w:pPr>
        <w:pStyle w:val="SourceNote"/>
        <w:widowControl w:val="1"/>
      </w:pPr>
      <w:r>
        <w:rPr>
          <w:rFonts w:ascii="Calibri" w:hAnsi="Calibri" w:eastAsia="Calibri"/>
          <w:b w:val="0"/>
          <w:i w:val="0"/>
          <w:color w:val="191919"/>
          <w:sz w:val="19"/>
        </w:rPr>
        <w:t xml:space="preserve">Al-Khwarizmi. </w:t>
      </w:r>
      <w:r>
        <w:rPr>
          <w:rFonts w:ascii="Calibri" w:hAnsi="Calibri" w:eastAsia="Calibri"/>
          <w:b w:val="0"/>
          <w:i/>
          <w:color w:val="191919"/>
          <w:sz w:val="19"/>
        </w:rPr>
        <w:t>The Compendious Book on Calculation by Completion and Balancing</w:t>
      </w:r>
      <w:r>
        <w:rPr>
          <w:rFonts w:ascii="Calibri" w:hAnsi="Calibri" w:eastAsia="Calibri"/>
          <w:b w:val="0"/>
          <w:i w:val="0"/>
          <w:color w:val="191919"/>
          <w:sz w:val="19"/>
        </w:rPr>
        <w:t xml:space="preserve">. Historical account in “Al-Khwarizmi,” MacTutor History of Mathematics, University of St Andrews. </w:t>
      </w:r>
      <w:hyperlink r:id="rId13">
        <w:r>
          <w:rPr>
            <w:rFonts w:ascii="Calibri" w:hAnsi="Calibri"/>
            <w:color w:val="265B8C"/>
            <w:u w:val="single"/>
            <w:sz w:val="19"/>
            <w:szCs w:val="19"/>
          </w:rPr>
          <w:t>MacTutor biography</w:t>
        </w:r>
      </w:hyperlink>
    </w:p>
    <w:p>
      <w:pPr>
        <w:pStyle w:val="SourceNote"/>
        <w:widowControl w:val="1"/>
      </w:pPr>
      <w:r>
        <w:rPr>
          <w:rFonts w:ascii="Calibri" w:hAnsi="Calibri" w:eastAsia="Calibri"/>
          <w:b w:val="0"/>
          <w:i w:val="0"/>
          <w:color w:val="191919"/>
          <w:sz w:val="19"/>
        </w:rPr>
        <w:t xml:space="preserve">Aristotle. </w:t>
      </w:r>
      <w:r>
        <w:rPr>
          <w:rFonts w:ascii="Calibri" w:hAnsi="Calibri" w:eastAsia="Calibri"/>
          <w:b w:val="0"/>
          <w:i/>
          <w:color w:val="191919"/>
          <w:sz w:val="19"/>
        </w:rPr>
        <w:t>Metaphysics</w:t>
      </w:r>
      <w:r>
        <w:rPr>
          <w:rFonts w:ascii="Calibri" w:hAnsi="Calibri" w:eastAsia="Calibri"/>
          <w:b w:val="0"/>
          <w:i w:val="0"/>
          <w:color w:val="191919"/>
          <w:sz w:val="19"/>
        </w:rPr>
        <w:t xml:space="preserve">, Book Theta, especially 1050a. See S. Marc Cohen and C. D. C. Reeve, “Aristotle's Metaphysics,” </w:t>
      </w:r>
      <w:r>
        <w:rPr>
          <w:rFonts w:ascii="Calibri" w:hAnsi="Calibri" w:eastAsia="Calibri"/>
          <w:b w:val="0"/>
          <w:i/>
          <w:color w:val="191919"/>
          <w:sz w:val="19"/>
        </w:rPr>
        <w:t>Stanford Encyclopedia of Philosophy</w:t>
      </w:r>
      <w:r>
        <w:rPr>
          <w:rFonts w:ascii="Calibri" w:hAnsi="Calibri" w:eastAsia="Calibri"/>
          <w:b w:val="0"/>
          <w:i w:val="0"/>
          <w:color w:val="191919"/>
          <w:sz w:val="19"/>
        </w:rPr>
        <w:t xml:space="preserve">. </w:t>
      </w:r>
      <w:hyperlink r:id="rId14">
        <w:r>
          <w:rPr>
            <w:rFonts w:ascii="Calibri" w:hAnsi="Calibri"/>
            <w:color w:val="265B8C"/>
            <w:u w:val="single"/>
            <w:sz w:val="19"/>
            <w:szCs w:val="19"/>
          </w:rPr>
          <w:t>SEP entry</w:t>
        </w:r>
      </w:hyperlink>
    </w:p>
    <w:p>
      <w:pPr>
        <w:pStyle w:val="SourceNote"/>
        <w:widowControl w:val="1"/>
      </w:pPr>
      <w:r>
        <w:rPr>
          <w:rFonts w:ascii="Calibri" w:hAnsi="Calibri" w:eastAsia="Calibri"/>
          <w:b w:val="0"/>
          <w:i w:val="0"/>
          <w:color w:val="191919"/>
          <w:sz w:val="19"/>
        </w:rPr>
        <w:t xml:space="preserve">Ashby, W. Ross. </w:t>
      </w:r>
      <w:r>
        <w:rPr>
          <w:rFonts w:ascii="Calibri" w:hAnsi="Calibri" w:eastAsia="Calibri"/>
          <w:b w:val="0"/>
          <w:i/>
          <w:color w:val="191919"/>
          <w:sz w:val="19"/>
        </w:rPr>
        <w:t>An Introduction to Cybernetics</w:t>
      </w:r>
      <w:r>
        <w:rPr>
          <w:rFonts w:ascii="Calibri" w:hAnsi="Calibri" w:eastAsia="Calibri"/>
          <w:b w:val="0"/>
          <w:i w:val="0"/>
          <w:color w:val="191919"/>
          <w:sz w:val="19"/>
        </w:rPr>
        <w:t xml:space="preserve">. London: Chapman &amp; Hall, 1956. </w:t>
      </w:r>
      <w:hyperlink r:id="rId18">
        <w:r>
          <w:rPr>
            <w:rFonts w:ascii="Calibri" w:hAnsi="Calibri"/>
            <w:color w:val="265B8C"/>
            <w:u w:val="single"/>
            <w:sz w:val="19"/>
            <w:szCs w:val="19"/>
          </w:rPr>
          <w:t>Open-access PDF</w:t>
        </w:r>
      </w:hyperlink>
    </w:p>
    <w:p>
      <w:pPr>
        <w:pStyle w:val="SourceNote"/>
        <w:widowControl w:val="1"/>
      </w:pPr>
      <w:r>
        <w:rPr>
          <w:rFonts w:ascii="Calibri" w:hAnsi="Calibri" w:eastAsia="Calibri"/>
          <w:b w:val="0"/>
          <w:i w:val="0"/>
          <w:color w:val="191919"/>
          <w:sz w:val="19"/>
        </w:rPr>
        <w:t xml:space="preserve">Bataille, Georges. “Hegel, Death and Sacrifice.” Translated by Jonathan Strauss. </w:t>
      </w:r>
      <w:r>
        <w:rPr>
          <w:rFonts w:ascii="Calibri" w:hAnsi="Calibri" w:eastAsia="Calibri"/>
          <w:b w:val="0"/>
          <w:i/>
          <w:color w:val="191919"/>
          <w:sz w:val="19"/>
        </w:rPr>
        <w:t>Yale French Studies</w:t>
      </w:r>
      <w:r>
        <w:rPr>
          <w:rFonts w:ascii="Calibri" w:hAnsi="Calibri" w:eastAsia="Calibri"/>
          <w:b w:val="0"/>
          <w:i w:val="0"/>
          <w:color w:val="191919"/>
          <w:sz w:val="19"/>
        </w:rPr>
        <w:t xml:space="preserve"> 78 (1990): 9-28. </w:t>
      </w:r>
      <w:hyperlink r:id="rId25">
        <w:r>
          <w:rPr>
            <w:rFonts w:ascii="Calibri" w:hAnsi="Calibri"/>
            <w:color w:val="265B8C"/>
            <w:u w:val="single"/>
            <w:sz w:val="19"/>
            <w:szCs w:val="19"/>
          </w:rPr>
          <w:t>JSTOR record</w:t>
        </w:r>
      </w:hyperlink>
    </w:p>
    <w:p>
      <w:pPr>
        <w:pStyle w:val="SourceNote"/>
        <w:widowControl w:val="1"/>
      </w:pPr>
      <w:r>
        <w:rPr>
          <w:rFonts w:ascii="Calibri" w:hAnsi="Calibri" w:eastAsia="Calibri"/>
          <w:b w:val="0"/>
          <w:i w:val="0"/>
          <w:color w:val="191919"/>
          <w:sz w:val="19"/>
        </w:rPr>
        <w:t xml:space="preserve">Derrida, Jacques. “Différance.” In </w:t>
      </w:r>
      <w:r>
        <w:rPr>
          <w:rFonts w:ascii="Calibri" w:hAnsi="Calibri" w:eastAsia="Calibri"/>
          <w:b w:val="0"/>
          <w:i/>
          <w:color w:val="191919"/>
          <w:sz w:val="19"/>
        </w:rPr>
        <w:t>Margins of Philosophy</w:t>
      </w:r>
      <w:r>
        <w:rPr>
          <w:rFonts w:ascii="Calibri" w:hAnsi="Calibri" w:eastAsia="Calibri"/>
          <w:b w:val="0"/>
          <w:i w:val="0"/>
          <w:color w:val="191919"/>
          <w:sz w:val="19"/>
        </w:rPr>
        <w:t xml:space="preserve">, translated by Alan Bass, 1-27. Chicago: University of Chicago Press, 1982. </w:t>
      </w:r>
      <w:hyperlink r:id="rId22">
        <w:r>
          <w:rPr>
            <w:rFonts w:ascii="Calibri" w:hAnsi="Calibri"/>
            <w:color w:val="265B8C"/>
            <w:u w:val="single"/>
            <w:sz w:val="19"/>
            <w:szCs w:val="19"/>
          </w:rPr>
          <w:t>Stanford-hosted text</w:t>
        </w:r>
      </w:hyperlink>
    </w:p>
    <w:p>
      <w:pPr>
        <w:pStyle w:val="SourceNote"/>
        <w:widowControl w:val="1"/>
      </w:pPr>
      <w:r>
        <w:rPr>
          <w:rFonts w:ascii="Calibri" w:hAnsi="Calibri" w:eastAsia="Calibri"/>
          <w:b w:val="0"/>
          <w:i w:val="0"/>
          <w:color w:val="191919"/>
          <w:sz w:val="19"/>
        </w:rPr>
        <w:t xml:space="preserve">Gibson, J. J. </w:t>
      </w:r>
      <w:r>
        <w:rPr>
          <w:rFonts w:ascii="Calibri" w:hAnsi="Calibri" w:eastAsia="Calibri"/>
          <w:b w:val="0"/>
          <w:i/>
          <w:color w:val="191919"/>
          <w:sz w:val="19"/>
        </w:rPr>
        <w:t>The Ecological Approach to Visual Perception</w:t>
      </w:r>
      <w:r>
        <w:rPr>
          <w:rFonts w:ascii="Calibri" w:hAnsi="Calibri" w:eastAsia="Calibri"/>
          <w:b w:val="0"/>
          <w:i w:val="0"/>
          <w:color w:val="191919"/>
          <w:sz w:val="19"/>
        </w:rPr>
        <w:t xml:space="preserve">. 1979. Classic edition, New York: Routledge, 2015. </w:t>
      </w:r>
      <w:hyperlink r:id="rId17">
        <w:r>
          <w:rPr>
            <w:rFonts w:ascii="Calibri" w:hAnsi="Calibri"/>
            <w:color w:val="265B8C"/>
            <w:u w:val="single"/>
            <w:sz w:val="19"/>
            <w:szCs w:val="19"/>
          </w:rPr>
          <w:t>Routledge edition</w:t>
        </w:r>
      </w:hyperlink>
    </w:p>
    <w:p>
      <w:pPr>
        <w:pStyle w:val="SourceNote"/>
        <w:widowControl w:val="1"/>
      </w:pPr>
      <w:r>
        <w:rPr>
          <w:rFonts w:ascii="Calibri" w:hAnsi="Calibri" w:eastAsia="Calibri"/>
          <w:b w:val="0"/>
          <w:i w:val="0"/>
          <w:color w:val="191919"/>
          <w:sz w:val="19"/>
        </w:rPr>
        <w:t xml:space="preserve">Laruelle, François. </w:t>
      </w:r>
      <w:r>
        <w:rPr>
          <w:rFonts w:ascii="Calibri" w:hAnsi="Calibri" w:eastAsia="Calibri"/>
          <w:b w:val="0"/>
          <w:i/>
          <w:color w:val="191919"/>
          <w:sz w:val="19"/>
        </w:rPr>
        <w:t>Principles of Non-Philosophy</w:t>
      </w:r>
      <w:r>
        <w:rPr>
          <w:rFonts w:ascii="Calibri" w:hAnsi="Calibri" w:eastAsia="Calibri"/>
          <w:b w:val="0"/>
          <w:i w:val="0"/>
          <w:color w:val="191919"/>
          <w:sz w:val="19"/>
        </w:rPr>
        <w:t xml:space="preserve">. Translated by Nicola Rubczak and Anthony Paul Smith. London: Bloomsbury Academic, 2013. </w:t>
      </w:r>
      <w:hyperlink r:id="rId23">
        <w:r>
          <w:rPr>
            <w:rFonts w:ascii="Calibri" w:hAnsi="Calibri"/>
            <w:color w:val="265B8C"/>
            <w:u w:val="single"/>
            <w:sz w:val="19"/>
            <w:szCs w:val="19"/>
          </w:rPr>
          <w:t>Bloomsbury edition</w:t>
        </w:r>
      </w:hyperlink>
    </w:p>
    <w:p>
      <w:pPr>
        <w:pStyle w:val="SourceNote"/>
        <w:widowControl w:val="1"/>
      </w:pPr>
      <w:r>
        <w:rPr>
          <w:rFonts w:ascii="Calibri" w:hAnsi="Calibri" w:eastAsia="Calibri"/>
          <w:b w:val="0"/>
          <w:i w:val="0"/>
          <w:color w:val="191919"/>
          <w:sz w:val="19"/>
        </w:rPr>
        <w:t xml:space="preserve">Lumsden, Simon. “The Role of Bildung in Hegel's Philosophy of History.” </w:t>
      </w:r>
      <w:r>
        <w:rPr>
          <w:rFonts w:ascii="Calibri" w:hAnsi="Calibri" w:eastAsia="Calibri"/>
          <w:b w:val="0"/>
          <w:i/>
          <w:color w:val="191919"/>
          <w:sz w:val="19"/>
        </w:rPr>
        <w:t>Intellectual History Review</w:t>
      </w:r>
      <w:r>
        <w:rPr>
          <w:rFonts w:ascii="Calibri" w:hAnsi="Calibri" w:eastAsia="Calibri"/>
          <w:b w:val="0"/>
          <w:i w:val="0"/>
          <w:color w:val="191919"/>
          <w:sz w:val="19"/>
        </w:rPr>
        <w:t xml:space="preserve"> 31, no. 3 (2021): 445-462. </w:t>
      </w:r>
      <w:hyperlink r:id="rId15">
        <w:r>
          <w:rPr>
            <w:rFonts w:ascii="Calibri" w:hAnsi="Calibri"/>
            <w:color w:val="265B8C"/>
            <w:u w:val="single"/>
            <w:sz w:val="19"/>
            <w:szCs w:val="19"/>
          </w:rPr>
          <w:t>DOI record</w:t>
        </w:r>
      </w:hyperlink>
    </w:p>
    <w:p>
      <w:pPr>
        <w:pStyle w:val="SourceNote"/>
        <w:widowControl w:val="1"/>
      </w:pPr>
      <w:r>
        <w:rPr>
          <w:rFonts w:ascii="Calibri" w:hAnsi="Calibri" w:eastAsia="Calibri"/>
          <w:b w:val="0"/>
          <w:i w:val="0"/>
          <w:color w:val="191919"/>
          <w:sz w:val="19"/>
        </w:rPr>
        <w:t xml:space="preserve">Maybee, Julie E. “Hegel's Dialectics.” </w:t>
      </w:r>
      <w:r>
        <w:rPr>
          <w:rFonts w:ascii="Calibri" w:hAnsi="Calibri" w:eastAsia="Calibri"/>
          <w:b w:val="0"/>
          <w:i/>
          <w:color w:val="191919"/>
          <w:sz w:val="19"/>
        </w:rPr>
        <w:t>Stanford Encyclopedia of Philosophy</w:t>
      </w:r>
      <w:r>
        <w:rPr>
          <w:rFonts w:ascii="Calibri" w:hAnsi="Calibri" w:eastAsia="Calibri"/>
          <w:b w:val="0"/>
          <w:i w:val="0"/>
          <w:color w:val="191919"/>
          <w:sz w:val="19"/>
        </w:rPr>
        <w:t xml:space="preserve">. </w:t>
      </w:r>
      <w:hyperlink r:id="rId20">
        <w:r>
          <w:rPr>
            <w:rFonts w:ascii="Calibri" w:hAnsi="Calibri"/>
            <w:color w:val="265B8C"/>
            <w:u w:val="single"/>
            <w:sz w:val="19"/>
            <w:szCs w:val="19"/>
          </w:rPr>
          <w:t>SEP entry</w:t>
        </w:r>
      </w:hyperlink>
    </w:p>
    <w:p>
      <w:pPr>
        <w:pStyle w:val="SourceNote"/>
        <w:widowControl w:val="1"/>
      </w:pPr>
      <w:r>
        <w:rPr>
          <w:rFonts w:ascii="Calibri" w:hAnsi="Calibri" w:eastAsia="Calibri"/>
          <w:b w:val="0"/>
          <w:i w:val="0"/>
          <w:color w:val="191919"/>
          <w:sz w:val="19"/>
        </w:rPr>
        <w:t xml:space="preserve">Robeyns, Ingrid, and Morten Fibieger Byskov. “The Capability Approach.” </w:t>
      </w:r>
      <w:r>
        <w:rPr>
          <w:rFonts w:ascii="Calibri" w:hAnsi="Calibri" w:eastAsia="Calibri"/>
          <w:b w:val="0"/>
          <w:i/>
          <w:color w:val="191919"/>
          <w:sz w:val="19"/>
        </w:rPr>
        <w:t>Stanford Encyclopedia of Philosophy</w:t>
      </w:r>
      <w:r>
        <w:rPr>
          <w:rFonts w:ascii="Calibri" w:hAnsi="Calibri" w:eastAsia="Calibri"/>
          <w:b w:val="0"/>
          <w:i w:val="0"/>
          <w:color w:val="191919"/>
          <w:sz w:val="19"/>
        </w:rPr>
        <w:t xml:space="preserve">. </w:t>
      </w:r>
      <w:hyperlink r:id="rId16">
        <w:r>
          <w:rPr>
            <w:rFonts w:ascii="Calibri" w:hAnsi="Calibri"/>
            <w:color w:val="265B8C"/>
            <w:u w:val="single"/>
            <w:sz w:val="19"/>
            <w:szCs w:val="19"/>
          </w:rPr>
          <w:t>SEP entry</w:t>
        </w:r>
      </w:hyperlink>
    </w:p>
    <w:p>
      <w:pPr>
        <w:pStyle w:val="SourceNote"/>
        <w:widowControl w:val="1"/>
      </w:pPr>
      <w:r>
        <w:rPr>
          <w:rFonts w:ascii="Calibri" w:hAnsi="Calibri" w:eastAsia="Calibri"/>
          <w:b w:val="0"/>
          <w:i w:val="0"/>
          <w:color w:val="191919"/>
          <w:sz w:val="19"/>
        </w:rPr>
        <w:t xml:space="preserve">Schwartz, Barry, Andrew Ward, John Monterosso, Sonja Lyubomirsky, Katherine White, and Darrin R. Lehman. “Maximizing Versus Satisficing: Happiness Is a Matter of Choice.” </w:t>
      </w:r>
      <w:r>
        <w:rPr>
          <w:rFonts w:ascii="Calibri" w:hAnsi="Calibri" w:eastAsia="Calibri"/>
          <w:b w:val="0"/>
          <w:i/>
          <w:color w:val="191919"/>
          <w:sz w:val="19"/>
        </w:rPr>
        <w:t>Journal of Personality and Social Psychology</w:t>
      </w:r>
      <w:r>
        <w:rPr>
          <w:rFonts w:ascii="Calibri" w:hAnsi="Calibri" w:eastAsia="Calibri"/>
          <w:b w:val="0"/>
          <w:i w:val="0"/>
          <w:color w:val="191919"/>
          <w:sz w:val="19"/>
        </w:rPr>
        <w:t xml:space="preserve"> 83, no. 5 (2002): 1178-1197. </w:t>
      </w:r>
      <w:hyperlink r:id="rId26">
        <w:r>
          <w:rPr>
            <w:rFonts w:ascii="Calibri" w:hAnsi="Calibri"/>
            <w:color w:val="265B8C"/>
            <w:u w:val="single"/>
            <w:sz w:val="19"/>
            <w:szCs w:val="19"/>
          </w:rPr>
          <w:t>DOI record</w:t>
        </w:r>
      </w:hyperlink>
    </w:p>
    <w:p>
      <w:pPr>
        <w:pStyle w:val="SourceNote"/>
        <w:widowControl w:val="1"/>
      </w:pPr>
      <w:r>
        <w:rPr>
          <w:rFonts w:ascii="Calibri" w:hAnsi="Calibri" w:eastAsia="Calibri"/>
          <w:b w:val="0"/>
          <w:i w:val="0"/>
          <w:color w:val="191919"/>
          <w:sz w:val="19"/>
        </w:rPr>
        <w:t xml:space="preserve">Whitmoyer, Keith. Review of François Laruelle, </w:t>
      </w:r>
      <w:r>
        <w:rPr>
          <w:rFonts w:ascii="Calibri" w:hAnsi="Calibri" w:eastAsia="Calibri"/>
          <w:b w:val="0"/>
          <w:i/>
          <w:color w:val="191919"/>
          <w:sz w:val="19"/>
        </w:rPr>
        <w:t>Principles of Non-Philosophy</w:t>
      </w:r>
      <w:r>
        <w:rPr>
          <w:rFonts w:ascii="Calibri" w:hAnsi="Calibri" w:eastAsia="Calibri"/>
          <w:b w:val="0"/>
          <w:i w:val="0"/>
          <w:color w:val="191919"/>
          <w:sz w:val="19"/>
        </w:rPr>
        <w:t xml:space="preserve">. </w:t>
      </w:r>
      <w:r>
        <w:rPr>
          <w:rFonts w:ascii="Calibri" w:hAnsi="Calibri" w:eastAsia="Calibri"/>
          <w:b w:val="0"/>
          <w:i/>
          <w:color w:val="191919"/>
          <w:sz w:val="19"/>
        </w:rPr>
        <w:t>Notre Dame Philosophical Reviews</w:t>
      </w:r>
      <w:r>
        <w:rPr>
          <w:rFonts w:ascii="Calibri" w:hAnsi="Calibri" w:eastAsia="Calibri"/>
          <w:b w:val="0"/>
          <w:i w:val="0"/>
          <w:color w:val="191919"/>
          <w:sz w:val="19"/>
        </w:rPr>
        <w:t xml:space="preserve">, April 13, 2014. </w:t>
      </w:r>
      <w:hyperlink r:id="rId24">
        <w:r>
          <w:rPr>
            <w:rFonts w:ascii="Calibri" w:hAnsi="Calibri"/>
            <w:color w:val="265B8C"/>
            <w:u w:val="single"/>
            <w:sz w:val="19"/>
            <w:szCs w:val="19"/>
          </w:rPr>
          <w:t>NDPR review</w:t>
        </w:r>
      </w:hyperlink>
    </w:p>
    <w:sectPr w:rsidR="00FC693F" w:rsidRPr="0006063C" w:rsidSect="00034616">
      <w:headerReference w:type="default" r:id="rId9"/>
      <w:headerReference w:type="first" r:id="rId10"/>
      <w:footerReference w:type="defaul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Calibri"/>
        <w:b w:val="0"/>
        <w:i w:val="0"/>
        <w:color w:val="5A6068"/>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Pr>
    <w:r>
      <w:rPr>
        <w:rFonts w:ascii="Calibri" w:hAnsi="Calibri" w:eastAsia="Calibri"/>
        <w:b w:val="0"/>
        <w:i w:val="0"/>
        <w:color w:val="5A6068"/>
        <w:sz w:val="17"/>
      </w:rPr>
      <w:t>ALGEBRA</w:t>
    </w:r>
    <w:r>
      <w:rPr>
        <w:rFonts w:ascii="Calibri" w:hAnsi="Calibri" w:eastAsia="Calibri"/>
        <w:b w:val="0"/>
        <w:i w:val="0"/>
        <w:color w:val="5A6068"/>
        <w:sz w:val="17"/>
      </w:rPr>
      <w:tab/>
      <w:t>FORMATION WITHOUT MAXCENTRISM</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eastAsia="Calibri"/>
      <w:b w:val="0"/>
      <w:i w:val="0"/>
      <w:color w:val="191919"/>
      <w:sz w:val="22"/>
      <w:lang w:val="en-US"/>
    </w:rPr>
  </w:style>
  <w:style w:type="paragraph" w:styleId="Header">
    <w:name w:val="header"/>
    <w:basedOn w:val="Normal"/>
    <w:link w:val="HeaderChar"/>
    <w:uiPriority w:val="99"/>
    <w:unhideWhenUsed/>
    <w:rsid w:val="00E618B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618BF"/>
    <w:rPr>
      <w:lang w:val="en-US"/>
    </w:rPr>
  </w:style>
  <w:style w:type="paragraph" w:styleId="Footer">
    <w:name w:val="footer"/>
    <w:basedOn w:val="Normal"/>
    <w:link w:val="FooterChar"/>
    <w:uiPriority w:val="99"/>
    <w:unhideWhenUsed/>
    <w:rsid w:val="00E618B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618BF"/>
    <w:rPr>
      <w:lang w:val="en-US"/>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b w:val="0"/>
      <w:bCs/>
      <w:i w:val="0"/>
      <w:color w:val="2E74B5"/>
      <w:sz w:val="32"/>
      <w:szCs w:val="28"/>
      <w:lang w:val="en-US"/>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Calibri"/>
      <w:b w:val="0"/>
      <w:bCs/>
      <w:i w:val="0"/>
      <w:color w:val="2E74B5"/>
      <w:sz w:val="26"/>
      <w:szCs w:val="26"/>
      <w:lang w:val="en-US"/>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Calibri"/>
      <w:b w:val="0"/>
      <w:bCs/>
      <w:i w:val="0"/>
      <w:color w:val="1F4D78"/>
      <w:sz w:val="24"/>
      <w:lang w:val="en-U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en-US"/>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rPr>
      <w:lang w:val="en-US"/>
    </w:rPr>
  </w:style>
  <w:style w:type="table" w:default="1" w:styleId="TableNormal">
    <w:name w:val="Normal Table"/>
    <w:uiPriority w:val="99"/>
    <w:semiHidden/>
    <w:unhideWhenUsed/>
    <w:tblPr>
      <w:tblInd w:w="0" w:type="dxa"/>
      <w:tblCellMar>
        <w:top w:w="0" w:type="dxa"/>
        <w:left w:w="108" w:type="dxa"/>
        <w:bottom w:w="0" w:type="dxa"/>
        <w:right w:w="108" w:type="dxa"/>
      </w:tblCellMar>
    </w:tblPr>
    <w:rPr>
      <w:lang w:val="en-US"/>
    </w:rPr>
  </w:style>
  <w:style w:type="numbering" w:default="1" w:styleId="NoList">
    <w:name w:val="No List"/>
    <w:uiPriority w:val="99"/>
    <w:semiHidden/>
    <w:unhideWhenUsed/>
    <w:rPr>
      <w:lang w:val="en-US"/>
    </w:rPr>
  </w:style>
  <w:style w:type="paragraph" w:styleId="NoSpacing">
    <w:name w:val="No Spacing"/>
    <w:uiPriority w:val="1"/>
    <w:qFormat/>
    <w:rsid w:val="00FC693F"/>
    <w:pPr>
      <w:spacing w:after="0" w:line="240" w:lineRule="auto"/>
    </w:pPr>
    <w:rPr>
      <w:lang w:val="en-US"/>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en-U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ListParagraph">
    <w:name w:val="List Paragraph"/>
    <w:basedOn w:val="Normal"/>
    <w:uiPriority w:val="34"/>
    <w:qFormat/>
    <w:rsid w:val="00FC693F"/>
    <w:pPr>
      <w:ind w:left="720"/>
      <w:contextualSpacing/>
    </w:pPr>
    <w:rPr>
      <w:lang w:val="en-US"/>
    </w:rPr>
  </w:style>
  <w:style w:type="paragraph" w:styleId="BodyText">
    <w:name w:val="Body Text"/>
    <w:basedOn w:val="Normal"/>
    <w:link w:val="BodyTextChar"/>
    <w:uiPriority w:val="99"/>
    <w:unhideWhenUsed/>
    <w:rsid w:val="00AA1D8D"/>
    <w:pPr>
      <w:spacing w:after="120"/>
    </w:pPr>
    <w:rPr>
      <w:lang w:val="en-US"/>
    </w:rPr>
  </w:style>
  <w:style w:type="character" w:customStyle="1" w:styleId="BodyTextChar">
    <w:name w:val="Body Text Char"/>
    <w:basedOn w:val="DefaultParagraphFont"/>
    <w:link w:val="BodyText"/>
    <w:uiPriority w:val="99"/>
    <w:rsid w:val="00AA1D8D"/>
    <w:rPr>
      <w:lang w:val="en-US"/>
    </w:rPr>
  </w:style>
  <w:style w:type="paragraph" w:styleId="BodyText2">
    <w:name w:val="Body Text 2"/>
    <w:basedOn w:val="Normal"/>
    <w:link w:val="BodyText2Char"/>
    <w:uiPriority w:val="99"/>
    <w:unhideWhenUsed/>
    <w:rsid w:val="00AA1D8D"/>
    <w:pPr>
      <w:spacing w:after="120" w:line="480" w:lineRule="auto"/>
    </w:pPr>
    <w:rPr>
      <w:lang w:val="en-US"/>
    </w:rPr>
  </w:style>
  <w:style w:type="character" w:customStyle="1" w:styleId="BodyText2Char">
    <w:name w:val="Body Text 2 Char"/>
    <w:basedOn w:val="DefaultParagraphFont"/>
    <w:link w:val="BodyText2"/>
    <w:uiPriority w:val="99"/>
    <w:rsid w:val="00AA1D8D"/>
    <w:rPr>
      <w:lang w:val="en-US"/>
    </w:rPr>
  </w:style>
  <w:style w:type="paragraph" w:styleId="BodyText3">
    <w:name w:val="Body Text 3"/>
    <w:basedOn w:val="Normal"/>
    <w:link w:val="BodyText3Char"/>
    <w:uiPriority w:val="99"/>
    <w:unhideWhenUsed/>
    <w:rsid w:val="00AA1D8D"/>
    <w:pPr>
      <w:spacing w:after="120"/>
    </w:pPr>
    <w:rPr>
      <w:sz w:val="16"/>
      <w:szCs w:val="16"/>
      <w:lang w:val="en-US"/>
    </w:rPr>
  </w:style>
  <w:style w:type="character" w:customStyle="1" w:styleId="BodyText3Char">
    <w:name w:val="Body Text 3 Char"/>
    <w:basedOn w:val="DefaultParagraphFont"/>
    <w:link w:val="BodyText3"/>
    <w:uiPriority w:val="99"/>
    <w:rsid w:val="00AA1D8D"/>
    <w:rPr>
      <w:sz w:val="16"/>
      <w:szCs w:val="16"/>
      <w:lang w:val="en-US"/>
    </w:rPr>
  </w:style>
  <w:style w:type="paragraph" w:styleId="List">
    <w:name w:val="List"/>
    <w:basedOn w:val="Normal"/>
    <w:uiPriority w:val="99"/>
    <w:unhideWhenUsed/>
    <w:rsid w:val="00AA1D8D"/>
    <w:pPr>
      <w:ind w:left="360" w:hanging="360"/>
      <w:contextualSpacing/>
    </w:pPr>
    <w:rPr>
      <w:lang w:val="en-US"/>
    </w:rPr>
  </w:style>
  <w:style w:type="paragraph" w:styleId="List2">
    <w:name w:val="List 2"/>
    <w:basedOn w:val="Normal"/>
    <w:uiPriority w:val="99"/>
    <w:unhideWhenUsed/>
    <w:rsid w:val="00326F90"/>
    <w:pPr>
      <w:ind w:left="720" w:hanging="360"/>
      <w:contextualSpacing/>
    </w:pPr>
    <w:rPr>
      <w:lang w:val="en-US"/>
    </w:rPr>
  </w:style>
  <w:style w:type="paragraph" w:styleId="List3">
    <w:name w:val="List 3"/>
    <w:basedOn w:val="Normal"/>
    <w:uiPriority w:val="99"/>
    <w:unhideWhenUsed/>
    <w:rsid w:val="00326F90"/>
    <w:pPr>
      <w:ind w:left="1080" w:hanging="360"/>
      <w:contextualSpacing/>
    </w:pPr>
    <w:rPr>
      <w:lang w:val="en-US"/>
    </w:rPr>
  </w:style>
  <w:style w:type="paragraph" w:styleId="ListBullet">
    <w:name w:val="List Bullet"/>
    <w:basedOn w:val="Normal"/>
    <w:uiPriority w:val="99"/>
    <w:unhideWhenUsed/>
    <w:rsid w:val="00326F90"/>
    <w:pPr>
      <w:numPr>
        <w:numId w:val="1"/>
      </w:numPr>
      <w:contextualSpacing/>
    </w:pPr>
    <w:rPr>
      <w:lang w:val="en-US"/>
    </w:rPr>
  </w:style>
  <w:style w:type="paragraph" w:styleId="ListBullet2">
    <w:name w:val="List Bullet 2"/>
    <w:basedOn w:val="Normal"/>
    <w:uiPriority w:val="99"/>
    <w:unhideWhenUsed/>
    <w:rsid w:val="00326F90"/>
    <w:pPr>
      <w:numPr>
        <w:numId w:val="2"/>
      </w:numPr>
      <w:contextualSpacing/>
    </w:pPr>
    <w:rPr>
      <w:lang w:val="en-US"/>
    </w:rPr>
  </w:style>
  <w:style w:type="paragraph" w:styleId="ListBullet3">
    <w:name w:val="List Bullet 3"/>
    <w:basedOn w:val="Normal"/>
    <w:uiPriority w:val="99"/>
    <w:unhideWhenUsed/>
    <w:rsid w:val="00326F90"/>
    <w:pPr>
      <w:numPr>
        <w:numId w:val="3"/>
      </w:numPr>
      <w:contextualSpacing/>
    </w:pPr>
    <w:rPr>
      <w:lang w:val="en-US"/>
    </w:rPr>
  </w:style>
  <w:style w:type="paragraph" w:styleId="ListNumber">
    <w:name w:val="List Number"/>
    <w:basedOn w:val="Normal"/>
    <w:uiPriority w:val="99"/>
    <w:unhideWhenUsed/>
    <w:rsid w:val="00326F90"/>
    <w:pPr>
      <w:numPr>
        <w:numId w:val="5"/>
      </w:numPr>
      <w:contextualSpacing/>
    </w:pPr>
    <w:rPr>
      <w:lang w:val="en-US"/>
    </w:rPr>
  </w:style>
  <w:style w:type="paragraph" w:styleId="ListNumber2">
    <w:name w:val="List Number 2"/>
    <w:basedOn w:val="Normal"/>
    <w:uiPriority w:val="99"/>
    <w:unhideWhenUsed/>
    <w:rsid w:val="0029639D"/>
    <w:pPr>
      <w:numPr>
        <w:numId w:val="6"/>
      </w:numPr>
      <w:contextualSpacing/>
    </w:pPr>
    <w:rPr>
      <w:lang w:val="en-US"/>
    </w:rPr>
  </w:style>
  <w:style w:type="paragraph" w:styleId="ListNumber3">
    <w:name w:val="List Number 3"/>
    <w:basedOn w:val="Normal"/>
    <w:uiPriority w:val="99"/>
    <w:unhideWhenUsed/>
    <w:rsid w:val="0029639D"/>
    <w:pPr>
      <w:numPr>
        <w:numId w:val="7"/>
      </w:numPr>
      <w:contextualSpacing/>
    </w:pPr>
    <w:rPr>
      <w:lang w:val="en-US"/>
    </w:rPr>
  </w:style>
  <w:style w:type="paragraph" w:styleId="ListContinue">
    <w:name w:val="List Continue"/>
    <w:basedOn w:val="Normal"/>
    <w:uiPriority w:val="99"/>
    <w:unhideWhenUsed/>
    <w:rsid w:val="0029639D"/>
    <w:pPr>
      <w:spacing w:after="120"/>
      <w:ind w:left="360"/>
      <w:contextualSpacing/>
    </w:pPr>
    <w:rPr>
      <w:lang w:val="en-US"/>
    </w:rPr>
  </w:style>
  <w:style w:type="paragraph" w:styleId="ListContinue2">
    <w:name w:val="List Continue 2"/>
    <w:basedOn w:val="Normal"/>
    <w:uiPriority w:val="99"/>
    <w:unhideWhenUsed/>
    <w:rsid w:val="0029639D"/>
    <w:pPr>
      <w:spacing w:after="120"/>
      <w:ind w:left="720"/>
      <w:contextualSpacing/>
    </w:pPr>
    <w:rPr>
      <w:lang w:val="en-US"/>
    </w:rPr>
  </w:style>
  <w:style w:type="paragraph" w:styleId="ListContinue3">
    <w:name w:val="List Continue 3"/>
    <w:basedOn w:val="Normal"/>
    <w:uiPriority w:val="99"/>
    <w:unhideWhenUsed/>
    <w:rsid w:val="0029639D"/>
    <w:pPr>
      <w:spacing w:after="120"/>
      <w:ind w:left="1080"/>
      <w:contextualSpacing/>
    </w:pPr>
    <w:rPr>
      <w:lang w:val="en-US"/>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en-US"/>
    </w:rPr>
  </w:style>
  <w:style w:type="character" w:customStyle="1" w:styleId="MacroTextChar">
    <w:name w:val="Macro Text Char"/>
    <w:basedOn w:val="DefaultParagraphFont"/>
    <w:link w:val="MacroText"/>
    <w:uiPriority w:val="99"/>
    <w:rsid w:val="0029639D"/>
    <w:rPr>
      <w:rFonts w:ascii="Courier" w:hAnsi="Courier"/>
      <w:sz w:val="20"/>
      <w:szCs w:val="20"/>
      <w:lang w:val="en-US"/>
    </w:rPr>
  </w:style>
  <w:style w:type="paragraph" w:styleId="Quote">
    <w:name w:val="Quote"/>
    <w:basedOn w:val="Normal"/>
    <w:next w:val="Normal"/>
    <w:link w:val="QuoteChar"/>
    <w:uiPriority w:val="29"/>
    <w:qFormat/>
    <w:rsid w:val="00FC693F"/>
    <w:rPr>
      <w:i/>
      <w:iCs/>
      <w:color w:val="000000" w:themeColor="text1"/>
      <w:lang w:val="en-US"/>
    </w:rPr>
  </w:style>
  <w:style w:type="character" w:customStyle="1" w:styleId="QuoteChar">
    <w:name w:val="Quote Char"/>
    <w:basedOn w:val="DefaultParagraphFont"/>
    <w:link w:val="Quote"/>
    <w:uiPriority w:val="29"/>
    <w:rsid w:val="00FC693F"/>
    <w:rPr>
      <w:i/>
      <w:iCs/>
      <w:color w:val="000000" w:themeColor="text1"/>
      <w:lang w:val="en-US"/>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en-US"/>
    </w:rPr>
  </w:style>
  <w:style w:type="character" w:styleId="Strong">
    <w:name w:val="Strong"/>
    <w:basedOn w:val="DefaultParagraphFont"/>
    <w:uiPriority w:val="22"/>
    <w:qFormat/>
    <w:rsid w:val="00FC693F"/>
    <w:rPr>
      <w:b/>
      <w:bCs/>
      <w:lang w:val="en-US"/>
    </w:rPr>
  </w:style>
  <w:style w:type="character" w:styleId="Emphasis">
    <w:name w:val="Emphasis"/>
    <w:basedOn w:val="DefaultParagraphFont"/>
    <w:uiPriority w:val="20"/>
    <w:qFormat/>
    <w:rsid w:val="00FC693F"/>
    <w:rPr>
      <w:i/>
      <w:iCs/>
      <w:lang w:val="en-U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en-US"/>
    </w:rPr>
  </w:style>
  <w:style w:type="character" w:customStyle="1" w:styleId="IntenseQuoteChar">
    <w:name w:val="Intense Quote Char"/>
    <w:basedOn w:val="DefaultParagraphFont"/>
    <w:link w:val="IntenseQuote"/>
    <w:uiPriority w:val="30"/>
    <w:rsid w:val="00FC693F"/>
    <w:rPr>
      <w:b/>
      <w:bCs/>
      <w:i/>
      <w:iCs/>
      <w:color w:val="4F81BD" w:themeColor="accent1"/>
      <w:lang w:val="en-US"/>
    </w:rPr>
  </w:style>
  <w:style w:type="character" w:styleId="SubtleEmphasis">
    <w:name w:val="Subtle Emphasis"/>
    <w:basedOn w:val="DefaultParagraphFont"/>
    <w:uiPriority w:val="19"/>
    <w:qFormat/>
    <w:rsid w:val="00FC693F"/>
    <w:rPr>
      <w:i/>
      <w:iCs/>
      <w:color w:val="808080" w:themeColor="text1" w:themeTint="7F"/>
      <w:lang w:val="en-US"/>
    </w:rPr>
  </w:style>
  <w:style w:type="character" w:styleId="IntenseEmphasis">
    <w:name w:val="Intense Emphasis"/>
    <w:basedOn w:val="DefaultParagraphFont"/>
    <w:uiPriority w:val="21"/>
    <w:qFormat/>
    <w:rsid w:val="00FC693F"/>
    <w:rPr>
      <w:b/>
      <w:bCs/>
      <w:i/>
      <w:iCs/>
      <w:color w:val="4F81BD" w:themeColor="accent1"/>
      <w:lang w:val="en-US"/>
    </w:rPr>
  </w:style>
  <w:style w:type="character" w:styleId="SubtleReference">
    <w:name w:val="Subtle Reference"/>
    <w:basedOn w:val="DefaultParagraphFont"/>
    <w:uiPriority w:val="31"/>
    <w:qFormat/>
    <w:rsid w:val="00FC693F"/>
    <w:rPr>
      <w:smallCaps/>
      <w:color w:val="C0504D" w:themeColor="accent2"/>
      <w:u w:val="single"/>
      <w:lang w:val="en-US"/>
    </w:rPr>
  </w:style>
  <w:style w:type="character" w:styleId="IntenseReference">
    <w:name w:val="Intense Reference"/>
    <w:basedOn w:val="DefaultParagraphFont"/>
    <w:uiPriority w:val="32"/>
    <w:qFormat/>
    <w:rsid w:val="00FC693F"/>
    <w:rPr>
      <w:b/>
      <w:bCs/>
      <w:smallCaps/>
      <w:color w:val="C0504D" w:themeColor="accent2"/>
      <w:spacing w:val="5"/>
      <w:u w:val="single"/>
      <w:lang w:val="en-US"/>
    </w:rPr>
  </w:style>
  <w:style w:type="character" w:styleId="BookTitle">
    <w:name w:val="Book Title"/>
    <w:basedOn w:val="DefaultParagraphFont"/>
    <w:uiPriority w:val="33"/>
    <w:qFormat/>
    <w:rsid w:val="00FC693F"/>
    <w:rPr>
      <w:b/>
      <w:bCs/>
      <w:smallCaps/>
      <w:spacing w:val="5"/>
      <w:lang w:val="en-US"/>
    </w:rPr>
  </w:style>
  <w:style w:type="paragraph" w:styleId="TOCHeading">
    <w:name w:val="TOC Heading"/>
    <w:basedOn w:val="Heading1"/>
    <w:next w:val="Normal"/>
    <w:uiPriority w:val="39"/>
    <w:semiHidden/>
    <w:unhideWhenUsed/>
    <w:qFormat/>
    <w:rsid w:val="00FC693F"/>
    <w:pPr>
      <w:outlineLvl w:val="9"/>
    </w:pPr>
    <w:rPr>
      <w:lang w:val="en-US"/>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lang w:val="en-US"/>
    </w:rPr>
  </w:style>
  <w:style w:type="table" w:styleId="LightShading">
    <w:name w:val="Light Shading"/>
    <w:basedOn w:val="TableNormal"/>
    <w:uiPriority w:val="60"/>
    <w:rsid w:val="00FC693F"/>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lang w:val="en-US"/>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lang w:val="en-US"/>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lang w:val="en-US"/>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lang w:val="en-US"/>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lang w:val="en-US"/>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lang w:val="en-US"/>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lang w:val="en-US"/>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lang w:val="en-US"/>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lang w:val="en-US"/>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lang w:val="en-US"/>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lang w:val="en-US"/>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lang w:val="en-US"/>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lang w:val="en-US"/>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lang w:val="en-US"/>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lang w:val="en-US"/>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lang w:val="en-US"/>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lang w:val="en-US"/>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lang w:val="en-US"/>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lang w:val="en-US"/>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lang w:val="en-US"/>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lang w:val="en-US"/>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rPr>
      <w:lang w:val="en-US"/>
    </w:rPr>
  </w:style>
  <w:style w:type="table" w:styleId="MediumList1">
    <w:name w:val="Medium List 1"/>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lang w:val="en-US"/>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lang w:val="en-US"/>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lang w:val="en-US"/>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lang w:val="en-US"/>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lang w:val="en-US"/>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lang w:val="en-US"/>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lang w:val="en-US"/>
    </w:r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lang w:val="en-US"/>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lang w:val="en-US"/>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lang w:val="en-US"/>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lang w:val="en-US"/>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lang w:val="en-US"/>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lang w:val="en-US"/>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lang w:val="en-US"/>
    </w:rPr>
  </w:style>
  <w:style w:type="table" w:styleId="DarkList">
    <w:name w:val="Dark List"/>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0" w:after="100" w:line="276" w:lineRule="auto"/>
      <w:ind w:left="360" w:hanging="360"/>
      <w:jc w:val="left"/>
    </w:pPr>
    <w:rPr>
      <w:rFonts w:ascii="Calibri" w:hAnsi="Calibri" w:eastAsia="Calibri"/>
      <w:b w:val="0"/>
      <w:i w:val="0"/>
      <w:color w:val="191919"/>
      <w:sz w:val="19"/>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mathshistory.st-andrews.ac.uk/Biographies/Al-Khwarizmi/" TargetMode="External"/><Relationship Id="rId14" Type="http://schemas.openxmlformats.org/officeDocument/2006/relationships/hyperlink" Target="https://plato.stanford.edu/entries/aristotle-metaphysics/" TargetMode="External"/><Relationship Id="rId15" Type="http://schemas.openxmlformats.org/officeDocument/2006/relationships/hyperlink" Target="https://doi.org/10.1080/17496977.2021.1956044" TargetMode="External"/><Relationship Id="rId16" Type="http://schemas.openxmlformats.org/officeDocument/2006/relationships/hyperlink" Target="https://plato.stanford.edu/entries/capability-approach/" TargetMode="External"/><Relationship Id="rId17" Type="http://schemas.openxmlformats.org/officeDocument/2006/relationships/hyperlink" Target="https://www.routledge.com/The-Ecological-Approach-to-Visual-Perception-Classic-Edition/Gibson/p/book/9781848725782" TargetMode="External"/><Relationship Id="rId18" Type="http://schemas.openxmlformats.org/officeDocument/2006/relationships/hyperlink" Target="https://ashby.info/Ashby-Introduction-to-Cybernetics.pdf" TargetMode="External"/><Relationship Id="rId19" Type="http://schemas.openxmlformats.org/officeDocument/2006/relationships/hyperlink" Target="https://pubmed.ncbi.nlm.nih.gov/12416921/" TargetMode="External"/><Relationship Id="rId20" Type="http://schemas.openxmlformats.org/officeDocument/2006/relationships/hyperlink" Target="https://plato.stanford.edu/entries/hegel-dialectics/" TargetMode="External"/><Relationship Id="rId21" Type="http://schemas.openxmlformats.org/officeDocument/2006/relationships/hyperlink" Target="http://www.jstor.org/stable/2930112" TargetMode="External"/><Relationship Id="rId22" Type="http://schemas.openxmlformats.org/officeDocument/2006/relationships/hyperlink" Target="https://web.stanford.edu/class/history34q/readings/Derrida/Differance.html" TargetMode="External"/><Relationship Id="rId23" Type="http://schemas.openxmlformats.org/officeDocument/2006/relationships/hyperlink" Target="https://www.bloomsbury.com/us/principles-of-nonphilosophy-9781441177568/" TargetMode="External"/><Relationship Id="rId24" Type="http://schemas.openxmlformats.org/officeDocument/2006/relationships/hyperlink" Target="https://ndpr.nd.edu/reviews/principles-of-non-philosophy/" TargetMode="External"/><Relationship Id="rId25" Type="http://schemas.openxmlformats.org/officeDocument/2006/relationships/hyperlink" Target="https://www.jstor.org/stable/2930112" TargetMode="External"/><Relationship Id="rId26" Type="http://schemas.openxmlformats.org/officeDocument/2006/relationships/hyperlink" Target="https://doi.org/10.1037/0022-3514.83.5.1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Formation Without Maxcentrism</dc:title>
  <dc:subject>Algebra and the Measure of What Can Still Become</dc:subject>
  <dc:creator>Mostafa Azizi</dc:creator>
  <cp:keywords>formation, range, maxcentrism, operative absence, immaturation, post-non-philosophy</cp:keywords>
  <dc:description>Research-grounded revised manuscript</dc:description>
  <cp:lastModifiedBy/>
  <cp:revision>1</cp:revision>
  <dcterms:created xsi:type="dcterms:W3CDTF">2013-12-23T23:15:00Z</dcterms:created>
  <dcterms:modified xsi:type="dcterms:W3CDTF">2013-12-23T23:15:00Z</dcterms:modified>
  <cp:category/>
</cp:coreProperties>
</file>