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60"/>
      </w:pPr>
      <w:r>
        <w:rPr>
          <w:rFonts w:ascii="Calibri" w:hAnsi="Calibri"/>
          <w:b/>
          <w:i w:val="0"/>
          <w:color w:val="3E6654"/>
          <w:sz w:val="20"/>
        </w:rPr>
        <w:t>CHAPTER 5</w:t>
      </w:r>
    </w:p>
    <w:p>
      <w:pPr>
        <w:spacing w:after="120"/>
      </w:pPr>
      <w:r>
        <w:rPr>
          <w:rFonts w:ascii="Calibri" w:hAnsi="Calibri"/>
          <w:b w:val="0"/>
          <w:i w:val="0"/>
          <w:color w:val="203A43"/>
          <w:sz w:val="52"/>
        </w:rPr>
        <w:t>The Vineyard and the Force of the Unrealized</w:t>
      </w:r>
    </w:p>
    <w:p>
      <w:pPr>
        <w:spacing w:after="320"/>
      </w:pPr>
      <w:r>
        <w:rPr>
          <w:rFonts w:ascii="Calibri" w:hAnsi="Calibri"/>
          <w:b w:val="0"/>
          <w:i/>
          <w:color w:val="5E666B"/>
          <w:sz w:val="26"/>
        </w:rPr>
        <w:t>A thorough academic outline connecting Jacob 5 with human force, child-force, and operative absence</w:t>
      </w:r>
    </w:p>
    <w:p>
      <w:pPr>
        <w:spacing w:after="320"/>
      </w:pPr>
      <w:r>
        <w:rPr>
          <w:rFonts w:ascii="Calibri" w:hAnsi="Calibri"/>
          <w:b w:val="0"/>
          <w:i w:val="0"/>
          <w:color w:val="5E666B"/>
          <w:sz w:val="19"/>
        </w:rPr>
        <w:t>Prepared for Mostafa Azizi  |  5 September 2026</w:t>
      </w:r>
    </w:p>
    <w:p>
      <w:pPr>
        <w:pStyle w:val="Heading1"/>
      </w:pPr>
      <w:r>
        <w:t>Direct thesis</w:t>
      </w:r>
    </w:p>
    <w:p>
      <w:pPr>
        <w:keepLines/>
      </w:pPr>
      <w:r>
        <w:rPr>
          <w:rFonts w:ascii="Calibri" w:hAnsi="Calibri"/>
          <w:b w:val="0"/>
          <w:i w:val="0"/>
          <w:color w:val="111111"/>
          <w:sz w:val="22"/>
        </w:rPr>
        <w:t>Jacob 5 should be read first within its explicit covenantal frame: Jacob answers the question of how a people that has rejected its foundation can ever be restored to it (Jacob 4:17), and Jacob 6 identifies the vineyard as the world and the allegory as the history of God's recovery of Israel. Within that frame, the allegory develops a theory of preservation through transformation. Israel survives neither through unchanged continuity nor through genealogical purity, but because roots, branches, grafts, servants, soils, and seasons remain capable of entering new relations and producing good fruit.</w:t>
      </w:r>
    </w:p>
    <w:p>
      <w:pPr>
        <w:keepLines/>
      </w:pPr>
      <w:r>
        <w:rPr>
          <w:rFonts w:ascii="Calibri" w:hAnsi="Calibri"/>
          <w:b w:val="0"/>
          <w:i w:val="0"/>
          <w:color w:val="111111"/>
          <w:sz w:val="22"/>
        </w:rPr>
        <w:t>The chapter's constructive argument begins from that textual structure. Human force names the capacity of persons and communities to alter the future field of possible outcomes through inherited conditions and responsive action. Child-force names the distinctive concentration of that capacity in children, who are presently active beings and not merely future adults, yet who also carry an exceptional power of generational differentiation. Operative absence names the efficacy of what is not presently given: anticipated fruit, displaced branches, future descendants, unrealized repair, and irretrievable losses all organize action before or after they become present. Jacob 5 thus becomes a scriptural grammar for formation: inheritance becomes fruitful only when it preserves the possibility of a response not exhausted by inheritance.</w:t>
      </w:r>
    </w:p>
    <w:p>
      <w:pPr>
        <w:pStyle w:val="Heading1"/>
      </w:pPr>
      <w:r>
        <w:t>Method and interpretive guardrails</w:t>
      </w:r>
    </w:p>
    <w:p>
      <w:pPr>
        <w:keepLines/>
        <w:spacing w:after="80" w:line="300" w:lineRule="auto"/>
        <w:numPr>
          <w:ilvl w:val="0"/>
          <w:numId w:val="10"/>
        </w:numPr>
      </w:pPr>
      <w:r>
        <w:rPr>
          <w:rFonts w:ascii="Calibri" w:hAnsi="Calibri"/>
          <w:b w:val="0"/>
          <w:i w:val="0"/>
          <w:color w:val="111111"/>
          <w:sz w:val="22"/>
        </w:rPr>
        <w:t>Begin with the canonical literary unit, Jacob 4:1-18, Jacob 5:1-77, and Jacob 6:1-13, rather than treating Jacob 5 as an isolated symbol chart.</w:t>
      </w:r>
    </w:p>
    <w:p>
      <w:pPr>
        <w:keepLines/>
        <w:spacing w:after="80" w:line="300" w:lineRule="auto"/>
        <w:numPr>
          <w:ilvl w:val="0"/>
          <w:numId w:val="10"/>
        </w:numPr>
      </w:pPr>
      <w:r>
        <w:rPr>
          <w:rFonts w:ascii="Calibri" w:hAnsi="Calibri"/>
          <w:b w:val="0"/>
          <w:i w:val="0"/>
          <w:color w:val="111111"/>
          <w:sz w:val="22"/>
        </w:rPr>
        <w:t>Establish the allegory's meanings from the text before offering philosophical extensions. The tame tree is explicitly Israel; Jacob 6 identifies the vineyard with the world and cultivation with divine mercy. The Lord, servant, roots, branches, fruit, grafting, pruning, scattering, gathering, and fire possess traditional interpretive ranges, but not every detail should be forced into a single historical referent.</w:t>
      </w:r>
    </w:p>
    <w:p>
      <w:pPr>
        <w:keepLines/>
        <w:spacing w:after="80" w:line="300" w:lineRule="auto"/>
        <w:numPr>
          <w:ilvl w:val="0"/>
          <w:numId w:val="10"/>
        </w:numPr>
      </w:pPr>
      <w:r>
        <w:rPr>
          <w:rFonts w:ascii="Calibri" w:hAnsi="Calibri"/>
          <w:b w:val="0"/>
          <w:i w:val="0"/>
          <w:color w:val="111111"/>
          <w:sz w:val="22"/>
        </w:rPr>
        <w:t>Preserve theological asymmetry. God is not merely one force among others. Human force operates within conditions of creatureliness, covenant, grace, inheritance, and response. The Lord supplies, judges, and preserves the field in which human force becomes consequential.</w:t>
      </w:r>
    </w:p>
    <w:p>
      <w:pPr>
        <w:keepLines/>
        <w:spacing w:after="80" w:line="300" w:lineRule="auto"/>
        <w:numPr>
          <w:ilvl w:val="0"/>
          <w:numId w:val="10"/>
        </w:numPr>
      </w:pPr>
      <w:r>
        <w:rPr>
          <w:rFonts w:ascii="Calibri" w:hAnsi="Calibri"/>
          <w:b w:val="0"/>
          <w:i w:val="0"/>
          <w:color w:val="111111"/>
          <w:sz w:val="22"/>
        </w:rPr>
        <w:t>Avoid biological essentialism. "Natural" and "wild" are figures internal to the allegory's covenantal drama, not biological rankings of ethnic groups. The decisive criterion is fruit, and both natural and wild branches can change what they produce.</w:t>
      </w:r>
    </w:p>
    <w:p>
      <w:pPr>
        <w:keepLines/>
        <w:spacing w:after="80" w:line="300" w:lineRule="auto"/>
        <w:numPr>
          <w:ilvl w:val="0"/>
          <w:numId w:val="10"/>
        </w:numPr>
      </w:pPr>
      <w:r>
        <w:rPr>
          <w:rFonts w:ascii="Calibri" w:hAnsi="Calibri"/>
          <w:b w:val="0"/>
          <w:i w:val="0"/>
          <w:color w:val="111111"/>
          <w:sz w:val="22"/>
        </w:rPr>
        <w:t>Avoid reducing children to symbols of the future. Child-force must affirm children's present worldhood, experience, vulnerability, and agency. Jens Qvortrup's criticism of "outcome thinking" provides a necessary corrective: concern for future adulthood can obscure the intrinsic value of children's present lives.</w:t>
      </w:r>
    </w:p>
    <w:p>
      <w:pPr>
        <w:keepLines/>
        <w:spacing w:after="80" w:line="300" w:lineRule="auto"/>
        <w:numPr>
          <w:ilvl w:val="0"/>
          <w:numId w:val="10"/>
        </w:numPr>
      </w:pPr>
      <w:r>
        <w:rPr>
          <w:rFonts w:ascii="Calibri" w:hAnsi="Calibri"/>
          <w:b w:val="0"/>
          <w:i w:val="0"/>
          <w:color w:val="111111"/>
          <w:sz w:val="22"/>
        </w:rPr>
        <w:t>Treat operative absence as an original concept in conversation with, but not reducible to, philosophical debates about omission causation, phenomenological absence, or sociological sensemaking. The claim is not that every absence is a mysterious entity; it is that some absent or unrealized terms become structurally efficacious through expectation, memory, norm, counterfactual dependence, and altered conduct.</w:t>
      </w:r>
    </w:p>
    <w:p>
      <w:pPr>
        <w:pStyle w:val="Heading1"/>
      </w:pPr>
      <w:r>
        <w:t>Proposed chapter architecture</w:t>
      </w:r>
    </w:p>
    <w:p>
      <w:pPr>
        <w:pStyle w:val="Heading2"/>
      </w:pPr>
      <w:r>
        <w:t>1. Before the Vineyard: Writing to the Absent Child</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4:1-4, 13, 17-18.</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Establish that the logic of operative absence precedes the olive-tree allegory. Jacob engraves words because ordinary records "must perish and vanish away." His intended recipients - "our children" and "our beloved brethren" - are not present at the act of inscription, yet their anticipated reading governs his present labor. The archive is therefore a material response to absent future readers.</w:t>
      </w:r>
    </w:p>
    <w:p>
      <w:pPr>
        <w:keepLines/>
      </w:pPr>
      <w:r>
        <w:rPr>
          <w:rFonts w:ascii="Calibri" w:hAnsi="Calibri"/>
          <w:b w:val="0"/>
          <w:i w:val="0"/>
          <w:color w:val="111111"/>
          <w:sz w:val="22"/>
        </w:rPr>
        <w:t>Key claims to develop:</w:t>
      </w:r>
    </w:p>
    <w:p>
      <w:pPr>
        <w:keepLines/>
        <w:spacing w:after="80" w:line="300" w:lineRule="auto"/>
        <w:numPr>
          <w:ilvl w:val="0"/>
          <w:numId w:val="11"/>
        </w:numPr>
      </w:pPr>
      <w:r>
        <w:rPr>
          <w:rFonts w:ascii="Calibri" w:hAnsi="Calibri"/>
          <w:b w:val="0"/>
          <w:i w:val="0"/>
          <w:color w:val="111111"/>
          <w:sz w:val="22"/>
        </w:rPr>
        <w:t>Writing makes the future causally and ethically relevant to the present without making it present.</w:t>
      </w:r>
    </w:p>
    <w:p>
      <w:pPr>
        <w:keepLines/>
        <w:spacing w:after="80" w:line="300" w:lineRule="auto"/>
        <w:numPr>
          <w:ilvl w:val="0"/>
          <w:numId w:val="11"/>
        </w:numPr>
      </w:pPr>
      <w:r>
        <w:rPr>
          <w:rFonts w:ascii="Calibri" w:hAnsi="Calibri"/>
          <w:b w:val="0"/>
          <w:i w:val="0"/>
          <w:color w:val="111111"/>
          <w:sz w:val="22"/>
        </w:rPr>
        <w:t>Jacob's children are not merely biological successors; they are future interpreters whose response may reconcile them to their parents, their history, and Christ.</w:t>
      </w:r>
    </w:p>
    <w:p>
      <w:pPr>
        <w:keepLines/>
        <w:spacing w:after="80" w:line="300" w:lineRule="auto"/>
        <w:numPr>
          <w:ilvl w:val="0"/>
          <w:numId w:val="11"/>
        </w:numPr>
      </w:pPr>
      <w:r>
        <w:rPr>
          <w:rFonts w:ascii="Calibri" w:hAnsi="Calibri"/>
          <w:b w:val="0"/>
          <w:i w:val="0"/>
          <w:color w:val="111111"/>
          <w:sz w:val="22"/>
        </w:rPr>
        <w:t>Jacob 4:13 joins present truth to futurity: prophecy speaks of things "as they really are" and "as they really will be." The future is not a void but a dimension of intelligibility and obligation.</w:t>
      </w:r>
    </w:p>
    <w:p>
      <w:pPr>
        <w:keepLines/>
        <w:spacing w:after="80" w:line="300" w:lineRule="auto"/>
        <w:numPr>
          <w:ilvl w:val="0"/>
          <w:numId w:val="11"/>
        </w:numPr>
      </w:pPr>
      <w:r>
        <w:rPr>
          <w:rFonts w:ascii="Calibri" w:hAnsi="Calibri"/>
          <w:b w:val="0"/>
          <w:i w:val="0"/>
          <w:color w:val="111111"/>
          <w:sz w:val="22"/>
        </w:rPr>
        <w:t>Jacob 4:17 supplies the allegory's controlling question: how can a people return to a foundation it has rejected? The problem is restoration after rupture, not simple preservation of uninterrupted sameness.</w:t>
      </w:r>
    </w:p>
    <w:p>
      <w:pPr>
        <w:pStyle w:val="OutlineLabel"/>
      </w:pPr>
      <w:r>
        <w:rPr>
          <w:rFonts w:ascii="Calibri" w:hAnsi="Calibri"/>
          <w:b/>
          <w:i w:val="0"/>
          <w:color w:val="3E6654"/>
          <w:sz w:val="19"/>
        </w:rPr>
        <w:t>TRANSITION</w:t>
      </w:r>
    </w:p>
    <w:p>
      <w:pPr>
        <w:keepLines/>
      </w:pPr>
      <w:r>
        <w:rPr>
          <w:rFonts w:ascii="Calibri" w:hAnsi="Calibri"/>
          <w:b w:val="0"/>
          <w:i/>
          <w:color w:val="111111"/>
          <w:sz w:val="22"/>
        </w:rPr>
        <w:t>The plates preserve words for children; the vineyard preserves roots and branches for fruit. Both are structures built around a recipient or result that is not yet present.</w:t>
      </w:r>
    </w:p>
    <w:p>
      <w:pPr>
        <w:pStyle w:val="Heading2"/>
      </w:pPr>
      <w:r>
        <w:t>2. The Allegorical Field: World, Israel, Root, Branch, Fruit</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5:1-3; Jacob 6:1-4.</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Define the allegory's basic grammar before historical periodization or philosophical appropriation.</w:t>
      </w:r>
    </w:p>
    <w:p>
      <w:pPr>
        <w:keepLines/>
      </w:pPr>
      <w:r>
        <w:rPr>
          <w:rFonts w:ascii="Calibri" w:hAnsi="Calibri"/>
          <w:b w:val="0"/>
          <w:i w:val="0"/>
          <w:color w:val="111111"/>
          <w:sz w:val="22"/>
        </w:rPr>
        <w:t>Key claims to develop:</w:t>
      </w:r>
    </w:p>
    <w:p>
      <w:pPr>
        <w:keepLines/>
        <w:spacing w:after="80" w:line="300" w:lineRule="auto"/>
        <w:numPr>
          <w:ilvl w:val="0"/>
          <w:numId w:val="12"/>
        </w:numPr>
      </w:pPr>
      <w:r>
        <w:rPr>
          <w:rFonts w:ascii="Calibri" w:hAnsi="Calibri"/>
          <w:b w:val="0"/>
          <w:i w:val="0"/>
          <w:color w:val="111111"/>
          <w:sz w:val="22"/>
        </w:rPr>
        <w:t>The tame olive tree represents the house of Israel; the vineyard is the world.</w:t>
      </w:r>
    </w:p>
    <w:p>
      <w:pPr>
        <w:keepLines/>
        <w:spacing w:after="80" w:line="300" w:lineRule="auto"/>
        <w:numPr>
          <w:ilvl w:val="0"/>
          <w:numId w:val="12"/>
        </w:numPr>
      </w:pPr>
      <w:r>
        <w:rPr>
          <w:rFonts w:ascii="Calibri" w:hAnsi="Calibri"/>
          <w:b w:val="0"/>
          <w:i w:val="0"/>
          <w:color w:val="111111"/>
          <w:sz w:val="22"/>
        </w:rPr>
        <w:t>The roots signify the covenantal source - divine promises, revelation, and sustaining relation - rather than racial substance.</w:t>
      </w:r>
    </w:p>
    <w:p>
      <w:pPr>
        <w:keepLines/>
        <w:spacing w:after="80" w:line="300" w:lineRule="auto"/>
        <w:numPr>
          <w:ilvl w:val="0"/>
          <w:numId w:val="12"/>
        </w:numPr>
      </w:pPr>
      <w:r>
        <w:rPr>
          <w:rFonts w:ascii="Calibri" w:hAnsi="Calibri"/>
          <w:b w:val="0"/>
          <w:i w:val="0"/>
          <w:color w:val="111111"/>
          <w:sz w:val="22"/>
        </w:rPr>
        <w:t>Branches signify historical and communal formations capable of transplantation, mixture, decay, and renewal.</w:t>
      </w:r>
    </w:p>
    <w:p>
      <w:pPr>
        <w:keepLines/>
        <w:spacing w:after="80" w:line="300" w:lineRule="auto"/>
        <w:numPr>
          <w:ilvl w:val="0"/>
          <w:numId w:val="12"/>
        </w:numPr>
      </w:pPr>
      <w:r>
        <w:rPr>
          <w:rFonts w:ascii="Calibri" w:hAnsi="Calibri"/>
          <w:b w:val="0"/>
          <w:i w:val="0"/>
          <w:color w:val="111111"/>
          <w:sz w:val="22"/>
        </w:rPr>
        <w:t>Fruit signifies realized life and works: the point at which a formation becomes consequential.</w:t>
      </w:r>
    </w:p>
    <w:p>
      <w:pPr>
        <w:keepLines/>
        <w:spacing w:after="80" w:line="300" w:lineRule="auto"/>
        <w:numPr>
          <w:ilvl w:val="0"/>
          <w:numId w:val="12"/>
        </w:numPr>
      </w:pPr>
      <w:r>
        <w:rPr>
          <w:rFonts w:ascii="Calibri" w:hAnsi="Calibri"/>
          <w:b w:val="0"/>
          <w:i w:val="0"/>
          <w:color w:val="111111"/>
          <w:sz w:val="22"/>
        </w:rPr>
        <w:t>Digging, pruning, dunging, nourishing, grafting, and transplantation signify differentiated modes of divine and prophetic labor.</w:t>
      </w:r>
    </w:p>
    <w:p>
      <w:pPr>
        <w:keepLines/>
        <w:spacing w:after="80" w:line="300" w:lineRule="auto"/>
        <w:numPr>
          <w:ilvl w:val="0"/>
          <w:numId w:val="12"/>
        </w:numPr>
      </w:pPr>
      <w:r>
        <w:rPr>
          <w:rFonts w:ascii="Calibri" w:hAnsi="Calibri"/>
          <w:b w:val="0"/>
          <w:i w:val="0"/>
          <w:color w:val="111111"/>
          <w:sz w:val="22"/>
        </w:rPr>
        <w:t>The Lord's repeated grief establishes love, not detached management, as the affective center of the allegory.</w:t>
      </w:r>
    </w:p>
    <w:p>
      <w:pPr>
        <w:pStyle w:val="OutlineLabel"/>
      </w:pPr>
      <w:r>
        <w:rPr>
          <w:rFonts w:ascii="Calibri" w:hAnsi="Calibri"/>
          <w:b/>
          <w:i w:val="0"/>
          <w:color w:val="3E6654"/>
          <w:sz w:val="19"/>
        </w:rPr>
        <w:t>SCHOLARLY POSITIONING</w:t>
      </w:r>
    </w:p>
    <w:p>
      <w:pPr>
        <w:keepLines/>
      </w:pPr>
      <w:r>
        <w:rPr>
          <w:rFonts w:ascii="Calibri" w:hAnsi="Calibri"/>
          <w:b w:val="0"/>
          <w:i w:val="0"/>
          <w:color w:val="111111"/>
          <w:sz w:val="22"/>
        </w:rPr>
        <w:t>Paul Y. Hoskisson identifies constants (the Lord, servant, and good roots) and variables (branches, grafting, pruning, and fruit). The Church's student manual supplies a standard symbolic map while explicitly warning against correlating every item with a precise referent. That caution should govern the chapter.</w:t>
      </w:r>
    </w:p>
    <w:p>
      <w:pPr>
        <w:pStyle w:val="OutlineLabel"/>
      </w:pPr>
      <w:r>
        <w:rPr>
          <w:rFonts w:ascii="Calibri" w:hAnsi="Calibri"/>
          <w:b/>
          <w:i w:val="0"/>
          <w:color w:val="3E6654"/>
          <w:sz w:val="19"/>
        </w:rPr>
        <w:t>TRANSITION</w:t>
      </w:r>
    </w:p>
    <w:p>
      <w:pPr>
        <w:keepLines/>
      </w:pPr>
      <w:r>
        <w:rPr>
          <w:rFonts w:ascii="Calibri" w:hAnsi="Calibri"/>
          <w:b w:val="0"/>
          <w:i/>
          <w:color w:val="111111"/>
          <w:sz w:val="22"/>
        </w:rPr>
        <w:t>Once the field is defined, the narrative can be read as a sequence in which inherited identity is repeatedly tested by what it produces.</w:t>
      </w:r>
    </w:p>
    <w:p>
      <w:pPr>
        <w:pStyle w:val="Heading2"/>
      </w:pPr>
      <w:r>
        <w:t>3. First Crisis: Decay and the Appearance of Tender Branches</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5:3-14.</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Show that preservation begins when the old formation can no longer preserve itself in its existing shape.</w:t>
      </w:r>
    </w:p>
    <w:p>
      <w:pPr>
        <w:keepLines/>
      </w:pPr>
      <w:r>
        <w:rPr>
          <w:rFonts w:ascii="Calibri" w:hAnsi="Calibri"/>
          <w:b w:val="0"/>
          <w:i w:val="0"/>
          <w:color w:val="111111"/>
          <w:sz w:val="22"/>
        </w:rPr>
        <w:t>Key claims to develop:</w:t>
      </w:r>
    </w:p>
    <w:p>
      <w:pPr>
        <w:keepLines/>
        <w:spacing w:after="80" w:line="300" w:lineRule="auto"/>
        <w:numPr>
          <w:ilvl w:val="0"/>
          <w:numId w:val="13"/>
        </w:numPr>
      </w:pPr>
      <w:r>
        <w:rPr>
          <w:rFonts w:ascii="Calibri" w:hAnsi="Calibri"/>
          <w:b w:val="0"/>
          <w:i w:val="0"/>
          <w:color w:val="111111"/>
          <w:sz w:val="22"/>
        </w:rPr>
        <w:t>The tame tree is simultaneously living, aging, and decaying. Identity persists while viability diminishes.</w:t>
      </w:r>
    </w:p>
    <w:p>
      <w:pPr>
        <w:keepLines/>
        <w:spacing w:after="80" w:line="300" w:lineRule="auto"/>
        <w:numPr>
          <w:ilvl w:val="0"/>
          <w:numId w:val="13"/>
        </w:numPr>
      </w:pPr>
      <w:r>
        <w:rPr>
          <w:rFonts w:ascii="Calibri" w:hAnsi="Calibri"/>
          <w:b w:val="0"/>
          <w:i w:val="0"/>
          <w:color w:val="111111"/>
          <w:sz w:val="22"/>
        </w:rPr>
        <w:t>Divine cultivation initially seeks renewal within continuity: pruning, digging, and nourishment precede cutting and transplantation.</w:t>
      </w:r>
    </w:p>
    <w:p>
      <w:pPr>
        <w:keepLines/>
        <w:spacing w:after="80" w:line="300" w:lineRule="auto"/>
        <w:numPr>
          <w:ilvl w:val="0"/>
          <w:numId w:val="13"/>
        </w:numPr>
      </w:pPr>
      <w:r>
        <w:rPr>
          <w:rFonts w:ascii="Calibri" w:hAnsi="Calibri"/>
          <w:b w:val="0"/>
          <w:i w:val="0"/>
          <w:color w:val="111111"/>
          <w:sz w:val="22"/>
        </w:rPr>
        <w:t>The "young and tender branches" appear at the boundary between decay and futurity. Their immaturity is not deficiency alone; it is the condition of transplantability and renewed formation.</w:t>
      </w:r>
    </w:p>
    <w:p>
      <w:pPr>
        <w:keepLines/>
        <w:spacing w:after="80" w:line="300" w:lineRule="auto"/>
        <w:numPr>
          <w:ilvl w:val="0"/>
          <w:numId w:val="13"/>
        </w:numPr>
      </w:pPr>
      <w:r>
        <w:rPr>
          <w:rFonts w:ascii="Calibri" w:hAnsi="Calibri"/>
          <w:b w:val="0"/>
          <w:i w:val="0"/>
          <w:color w:val="111111"/>
          <w:sz w:val="22"/>
        </w:rPr>
        <w:t>Scattering is both judgment and preservation. The Lord disperses natural branches so that the fruit may survive even if the central root structure perishes.</w:t>
      </w:r>
    </w:p>
    <w:p>
      <w:pPr>
        <w:keepLines/>
        <w:spacing w:after="80" w:line="300" w:lineRule="auto"/>
        <w:numPr>
          <w:ilvl w:val="0"/>
          <w:numId w:val="13"/>
        </w:numPr>
      </w:pPr>
      <w:r>
        <w:rPr>
          <w:rFonts w:ascii="Calibri" w:hAnsi="Calibri"/>
          <w:b w:val="0"/>
          <w:i w:val="0"/>
          <w:color w:val="111111"/>
          <w:sz w:val="22"/>
        </w:rPr>
        <w:t>Wild branches grafted into the mother tree prevent the roots from dying. What is foreign to the present formation becomes necessary to preserve its inherited source.</w:t>
      </w:r>
    </w:p>
    <w:p>
      <w:pPr>
        <w:pStyle w:val="OutlineLabel"/>
      </w:pPr>
      <w:r>
        <w:rPr>
          <w:rFonts w:ascii="Calibri" w:hAnsi="Calibri"/>
          <w:b/>
          <w:i w:val="0"/>
          <w:color w:val="3E6654"/>
          <w:sz w:val="19"/>
        </w:rPr>
        <w:t>HISTORICAL REGISTER</w:t>
      </w:r>
    </w:p>
    <w:p>
      <w:pPr>
        <w:keepLines/>
      </w:pPr>
      <w:r>
        <w:rPr>
          <w:rFonts w:ascii="Calibri" w:hAnsi="Calibri"/>
          <w:b w:val="0"/>
          <w:i w:val="0"/>
          <w:color w:val="111111"/>
          <w:sz w:val="22"/>
        </w:rPr>
        <w:t>In traditional Latter-day Saint periodization, this section represents the formation, decline, and scattering of Israel, culminating around the era of Lehi. This chronology should be presented as one influential reading, not as the exhaustive meaning of every verse.</w:t>
      </w:r>
    </w:p>
    <w:p>
      <w:pPr>
        <w:pStyle w:val="OutlineLabel"/>
      </w:pPr>
      <w:r>
        <w:rPr>
          <w:rFonts w:ascii="Calibri" w:hAnsi="Calibri"/>
          <w:b/>
          <w:i w:val="0"/>
          <w:color w:val="3E6654"/>
          <w:sz w:val="19"/>
        </w:rPr>
        <w:t>TRANSITION</w:t>
      </w:r>
    </w:p>
    <w:p>
      <w:pPr>
        <w:keepLines/>
      </w:pPr>
      <w:r>
        <w:rPr>
          <w:rFonts w:ascii="Calibri" w:hAnsi="Calibri"/>
          <w:b w:val="0"/>
          <w:i/>
          <w:color w:val="111111"/>
          <w:sz w:val="22"/>
        </w:rPr>
        <w:t>Scattering creates the test the allegory will repeat: whether origin, environment, or cultivated relation best explains the fruit.</w:t>
      </w:r>
    </w:p>
    <w:p>
      <w:pPr>
        <w:pStyle w:val="Heading2"/>
      </w:pPr>
      <w:r>
        <w:t>4. Poor Ground, Choice Ground, and the Failure of Determinism</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5:15-28.</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Demonstrate that neither origin nor environment determines outcome absolutely.</w:t>
      </w:r>
    </w:p>
    <w:p>
      <w:pPr>
        <w:keepLines/>
      </w:pPr>
      <w:r>
        <w:rPr>
          <w:rFonts w:ascii="Calibri" w:hAnsi="Calibri"/>
          <w:b w:val="0"/>
          <w:i w:val="0"/>
          <w:color w:val="111111"/>
          <w:sz w:val="22"/>
        </w:rPr>
        <w:t>Key claims to develop:</w:t>
      </w:r>
    </w:p>
    <w:p>
      <w:pPr>
        <w:keepLines/>
        <w:spacing w:after="80" w:line="300" w:lineRule="auto"/>
        <w:numPr>
          <w:ilvl w:val="0"/>
          <w:numId w:val="14"/>
        </w:numPr>
      </w:pPr>
      <w:r>
        <w:rPr>
          <w:rFonts w:ascii="Calibri" w:hAnsi="Calibri"/>
          <w:b w:val="0"/>
          <w:i w:val="0"/>
          <w:color w:val="111111"/>
          <w:sz w:val="22"/>
        </w:rPr>
        <w:t>Wild branches bear tame fruit because they "take hold" of the moisture and strength of good roots. Covenant identity is relational and participatory.</w:t>
      </w:r>
    </w:p>
    <w:p>
      <w:pPr>
        <w:keepLines/>
        <w:spacing w:after="80" w:line="300" w:lineRule="auto"/>
        <w:numPr>
          <w:ilvl w:val="0"/>
          <w:numId w:val="14"/>
        </w:numPr>
      </w:pPr>
      <w:r>
        <w:rPr>
          <w:rFonts w:ascii="Calibri" w:hAnsi="Calibri"/>
          <w:b w:val="0"/>
          <w:i w:val="0"/>
          <w:color w:val="111111"/>
          <w:sz w:val="22"/>
        </w:rPr>
        <w:t>Natural branches flourish in poor ground, demonstrating that adverse conditions do not eliminate the possibility of good fruit.</w:t>
      </w:r>
    </w:p>
    <w:p>
      <w:pPr>
        <w:keepLines/>
        <w:spacing w:after="80" w:line="300" w:lineRule="auto"/>
        <w:numPr>
          <w:ilvl w:val="0"/>
          <w:numId w:val="14"/>
        </w:numPr>
      </w:pPr>
      <w:r>
        <w:rPr>
          <w:rFonts w:ascii="Calibri" w:hAnsi="Calibri"/>
          <w:b w:val="0"/>
          <w:i w:val="0"/>
          <w:color w:val="111111"/>
          <w:sz w:val="22"/>
        </w:rPr>
        <w:t>A branch in choice ground divides between tame and wild fruit, demonstrating that favorable conditions do not guarantee fidelity.</w:t>
      </w:r>
    </w:p>
    <w:p>
      <w:pPr>
        <w:keepLines/>
        <w:spacing w:after="80" w:line="300" w:lineRule="auto"/>
        <w:numPr>
          <w:ilvl w:val="0"/>
          <w:numId w:val="14"/>
        </w:numPr>
      </w:pPr>
      <w:r>
        <w:rPr>
          <w:rFonts w:ascii="Calibri" w:hAnsi="Calibri"/>
          <w:b w:val="0"/>
          <w:i w:val="0"/>
          <w:color w:val="111111"/>
          <w:sz w:val="22"/>
        </w:rPr>
        <w:t>The Nephite-Lamanite allusion belongs most plausibly to the branch planted in a choice land, but the philosophical force of the episode exceeds this historical identification.</w:t>
      </w:r>
    </w:p>
    <w:p>
      <w:pPr>
        <w:keepLines/>
        <w:spacing w:after="80" w:line="300" w:lineRule="auto"/>
        <w:numPr>
          <w:ilvl w:val="0"/>
          <w:numId w:val="14"/>
        </w:numPr>
      </w:pPr>
      <w:r>
        <w:rPr>
          <w:rFonts w:ascii="Calibri" w:hAnsi="Calibri"/>
          <w:b w:val="0"/>
          <w:i w:val="0"/>
          <w:color w:val="111111"/>
          <w:sz w:val="22"/>
        </w:rPr>
        <w:t>Fruit displaces provenance as the principal criterion of evaluation. The chapter can therefore oppose purity models of identity without dissolving inheritance.</w:t>
      </w:r>
    </w:p>
    <w:p>
      <w:pPr>
        <w:keepLines/>
        <w:spacing w:after="80" w:line="300" w:lineRule="auto"/>
        <w:numPr>
          <w:ilvl w:val="0"/>
          <w:numId w:val="14"/>
        </w:numPr>
      </w:pPr>
      <w:r>
        <w:rPr>
          <w:rFonts w:ascii="Calibri" w:hAnsi="Calibri"/>
          <w:b w:val="0"/>
          <w:i w:val="0"/>
          <w:color w:val="111111"/>
          <w:sz w:val="22"/>
        </w:rPr>
        <w:t>The servant's intercession - "nourish it a little longer" - introduces delayed judgment as a positive practice of formation.</w:t>
      </w:r>
    </w:p>
    <w:p>
      <w:pPr>
        <w:pStyle w:val="OutlineLabel"/>
      </w:pPr>
      <w:r>
        <w:rPr>
          <w:rFonts w:ascii="Calibri" w:hAnsi="Calibri"/>
          <w:b/>
          <w:i w:val="0"/>
          <w:color w:val="3E6654"/>
          <w:sz w:val="19"/>
        </w:rPr>
        <w:t>TRANSITION</w:t>
      </w:r>
    </w:p>
    <w:p>
      <w:pPr>
        <w:keepLines/>
      </w:pPr>
      <w:r>
        <w:rPr>
          <w:rFonts w:ascii="Calibri" w:hAnsi="Calibri"/>
          <w:b w:val="0"/>
          <w:i/>
          <w:color w:val="111111"/>
          <w:sz w:val="22"/>
        </w:rPr>
        <w:t>The vineyard now supplies the conceptual basis for human force: inherited conditions matter, but what a formation does with them remains open.</w:t>
      </w:r>
    </w:p>
    <w:p>
      <w:pPr>
        <w:pStyle w:val="Heading2"/>
      </w:pPr>
      <w:r>
        <w:t>5. Human Force: Inheritance Becomes Consequence</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5:17-18, 20-25, 34-37.</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Define human force without confusing it with domination, sovereignty, or physical power.</w:t>
      </w:r>
    </w:p>
    <w:p>
      <w:pPr>
        <w:pStyle w:val="OutlineLabel"/>
      </w:pPr>
      <w:r>
        <w:rPr>
          <w:rFonts w:ascii="Calibri" w:hAnsi="Calibri"/>
          <w:b/>
          <w:i w:val="0"/>
          <w:color w:val="3E6654"/>
          <w:sz w:val="19"/>
        </w:rPr>
        <w:t>DEFINITION</w:t>
      </w:r>
    </w:p>
    <w:p>
      <w:pPr>
        <w:keepLines/>
      </w:pPr>
      <w:r>
        <w:rPr>
          <w:rFonts w:ascii="Calibri" w:hAnsi="Calibri"/>
          <w:b w:val="0"/>
          <w:i w:val="0"/>
          <w:color w:val="111111"/>
          <w:sz w:val="22"/>
        </w:rPr>
        <w:t>Human force is the capacity of a person or collective formation to modify the accessible range and probability of future states through response, action, transmission, and omission.</w:t>
      </w:r>
    </w:p>
    <w:p>
      <w:pPr>
        <w:keepLines/>
      </w:pPr>
      <w:r>
        <w:rPr>
          <w:rFonts w:ascii="Calibri" w:hAnsi="Calibri"/>
          <w:b w:val="0"/>
          <w:i w:val="0"/>
          <w:color w:val="111111"/>
          <w:sz w:val="22"/>
        </w:rPr>
        <w:t>Key claims to develop:</w:t>
      </w:r>
    </w:p>
    <w:p>
      <w:pPr>
        <w:keepLines/>
        <w:spacing w:after="80" w:line="300" w:lineRule="auto"/>
        <w:numPr>
          <w:ilvl w:val="0"/>
          <w:numId w:val="15"/>
        </w:numPr>
      </w:pPr>
      <w:r>
        <w:rPr>
          <w:rFonts w:ascii="Calibri" w:hAnsi="Calibri"/>
          <w:b w:val="0"/>
          <w:i w:val="0"/>
          <w:color w:val="111111"/>
          <w:sz w:val="22"/>
        </w:rPr>
        <w:t>Human beings enter fields they did not create: bodies, languages, families, covenants, institutions, soils, and histories.</w:t>
      </w:r>
    </w:p>
    <w:p>
      <w:pPr>
        <w:keepLines/>
        <w:spacing w:after="80" w:line="300" w:lineRule="auto"/>
        <w:numPr>
          <w:ilvl w:val="0"/>
          <w:numId w:val="15"/>
        </w:numPr>
      </w:pPr>
      <w:r>
        <w:rPr>
          <w:rFonts w:ascii="Calibri" w:hAnsi="Calibri"/>
          <w:b w:val="0"/>
          <w:i w:val="0"/>
          <w:color w:val="111111"/>
          <w:sz w:val="22"/>
        </w:rPr>
        <w:t>These conditions constrain action but do not mechanically dictate fruit. Human force appears in the difference between inheritance and outcome.</w:t>
      </w:r>
    </w:p>
    <w:p>
      <w:pPr>
        <w:keepLines/>
        <w:spacing w:after="80" w:line="300" w:lineRule="auto"/>
        <w:numPr>
          <w:ilvl w:val="0"/>
          <w:numId w:val="15"/>
        </w:numPr>
      </w:pPr>
      <w:r>
        <w:rPr>
          <w:rFonts w:ascii="Calibri" w:hAnsi="Calibri"/>
          <w:b w:val="0"/>
          <w:i w:val="0"/>
          <w:color w:val="111111"/>
          <w:sz w:val="22"/>
        </w:rPr>
        <w:t>Fruit is force made legible. It is the realized consequence by which a branch's relation to its inheritance becomes assessable.</w:t>
      </w:r>
    </w:p>
    <w:p>
      <w:pPr>
        <w:keepLines/>
        <w:spacing w:after="80" w:line="300" w:lineRule="auto"/>
        <w:numPr>
          <w:ilvl w:val="0"/>
          <w:numId w:val="15"/>
        </w:numPr>
      </w:pPr>
      <w:r>
        <w:rPr>
          <w:rFonts w:ascii="Calibri" w:hAnsi="Calibri"/>
          <w:b w:val="0"/>
          <w:i w:val="0"/>
          <w:color w:val="111111"/>
          <w:sz w:val="22"/>
        </w:rPr>
        <w:t>Good fruit enlarges the conditions under which others may live and respond; bitter fruit transmits corruption, closes possibilities, or consumes inherited strength without renewing it.</w:t>
      </w:r>
    </w:p>
    <w:p>
      <w:pPr>
        <w:keepLines/>
        <w:spacing w:after="80" w:line="300" w:lineRule="auto"/>
        <w:numPr>
          <w:ilvl w:val="0"/>
          <w:numId w:val="15"/>
        </w:numPr>
      </w:pPr>
      <w:r>
        <w:rPr>
          <w:rFonts w:ascii="Calibri" w:hAnsi="Calibri"/>
          <w:b w:val="0"/>
          <w:i w:val="0"/>
          <w:color w:val="111111"/>
          <w:sz w:val="22"/>
        </w:rPr>
        <w:t>Force is relational. Branch and root strengthen one another; neither can be understood as a self-sufficient cause.</w:t>
      </w:r>
    </w:p>
    <w:p>
      <w:pPr>
        <w:keepLines/>
      </w:pPr>
      <w:r>
        <w:rPr>
          <w:rFonts w:ascii="Calibri" w:hAnsi="Calibri"/>
          <w:b w:val="0"/>
          <w:i w:val="0"/>
          <w:color w:val="111111"/>
          <w:sz w:val="22"/>
        </w:rPr>
        <w:t>Important theological qualification: Human force does not replace grace. Jacob 4:7 explicitly attributes human power to divine grace and condescension. The concept describes creaturely efficacy within a divinely sustained field.</w:t>
      </w:r>
    </w:p>
    <w:p>
      <w:pPr>
        <w:pStyle w:val="OutlineLabel"/>
      </w:pPr>
      <w:r>
        <w:rPr>
          <w:rFonts w:ascii="Calibri" w:hAnsi="Calibri"/>
          <w:b/>
          <w:i w:val="0"/>
          <w:color w:val="3E6654"/>
          <w:sz w:val="19"/>
        </w:rPr>
        <w:t>TRANSITION</w:t>
      </w:r>
    </w:p>
    <w:p>
      <w:pPr>
        <w:keepLines/>
      </w:pPr>
      <w:r>
        <w:rPr>
          <w:rFonts w:ascii="Calibri" w:hAnsi="Calibri"/>
          <w:b w:val="0"/>
          <w:i/>
          <w:color w:val="111111"/>
          <w:sz w:val="22"/>
        </w:rPr>
        <w:t>Daniel Belnap's account of the servant allows the argument to move from force as outcome to force as learned participation.</w:t>
      </w:r>
    </w:p>
    <w:p>
      <w:pPr>
        <w:pStyle w:val="Heading2"/>
      </w:pPr>
      <w:r>
        <w:t>6. The Servant's Formation: From Obedience to Participatory Judgment</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5:7-12, 16-28, 49-51, 61-75.</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Recover the servant as a developing agent rather than a transparent instrument.</w:t>
      </w:r>
    </w:p>
    <w:p>
      <w:pPr>
        <w:keepLines/>
      </w:pPr>
      <w:r>
        <w:rPr>
          <w:rFonts w:ascii="Calibri" w:hAnsi="Calibri"/>
          <w:b w:val="0"/>
          <w:i w:val="0"/>
          <w:color w:val="111111"/>
          <w:sz w:val="22"/>
        </w:rPr>
        <w:t>Key claims to develop:</w:t>
      </w:r>
    </w:p>
    <w:p>
      <w:pPr>
        <w:keepLines/>
        <w:spacing w:after="80" w:line="300" w:lineRule="auto"/>
        <w:numPr>
          <w:ilvl w:val="0"/>
          <w:numId w:val="16"/>
        </w:numPr>
      </w:pPr>
      <w:r>
        <w:rPr>
          <w:rFonts w:ascii="Calibri" w:hAnsi="Calibri"/>
          <w:b w:val="0"/>
          <w:i w:val="0"/>
          <w:color w:val="111111"/>
          <w:sz w:val="22"/>
        </w:rPr>
        <w:t>At first the servant executes commands without speaking. His role expands as he watches, nourishes, reports, questions, and finally intercedes.</w:t>
      </w:r>
    </w:p>
    <w:p>
      <w:pPr>
        <w:keepLines/>
        <w:spacing w:after="80" w:line="300" w:lineRule="auto"/>
        <w:numPr>
          <w:ilvl w:val="0"/>
          <w:numId w:val="16"/>
        </w:numPr>
      </w:pPr>
      <w:r>
        <w:rPr>
          <w:rFonts w:ascii="Calibri" w:hAnsi="Calibri"/>
          <w:b w:val="0"/>
          <w:i w:val="0"/>
          <w:color w:val="111111"/>
          <w:sz w:val="22"/>
        </w:rPr>
        <w:t>The Lord teaches the servant to interpret the relation between soil, root, branch, and fruit. Competence emerges through sustained participation in the field.</w:t>
      </w:r>
    </w:p>
    <w:p>
      <w:pPr>
        <w:keepLines/>
        <w:spacing w:after="80" w:line="300" w:lineRule="auto"/>
        <w:numPr>
          <w:ilvl w:val="0"/>
          <w:numId w:val="16"/>
        </w:numPr>
      </w:pPr>
      <w:r>
        <w:rPr>
          <w:rFonts w:ascii="Calibri" w:hAnsi="Calibri"/>
          <w:b w:val="0"/>
          <w:i w:val="0"/>
          <w:color w:val="111111"/>
          <w:sz w:val="22"/>
        </w:rPr>
        <w:t>In verse 27 and again in verse 50, the servant requests more time. He has learned mercy not as passivity but as informed judgment about the conditions of growth.</w:t>
      </w:r>
    </w:p>
    <w:p>
      <w:pPr>
        <w:keepLines/>
        <w:spacing w:after="80" w:line="300" w:lineRule="auto"/>
        <w:numPr>
          <w:ilvl w:val="0"/>
          <w:numId w:val="16"/>
        </w:numPr>
      </w:pPr>
      <w:r>
        <w:rPr>
          <w:rFonts w:ascii="Calibri" w:hAnsi="Calibri"/>
          <w:b w:val="0"/>
          <w:i w:val="0"/>
          <w:color w:val="111111"/>
          <w:sz w:val="22"/>
        </w:rPr>
        <w:t>The final work multiplies servants, though "they were few." Human force becomes collective without becoming anonymous.</w:t>
      </w:r>
    </w:p>
    <w:p>
      <w:pPr>
        <w:keepLines/>
        <w:spacing w:after="80" w:line="300" w:lineRule="auto"/>
        <w:numPr>
          <w:ilvl w:val="0"/>
          <w:numId w:val="16"/>
        </w:numPr>
      </w:pPr>
      <w:r>
        <w:rPr>
          <w:rFonts w:ascii="Calibri" w:hAnsi="Calibri"/>
          <w:b w:val="0"/>
          <w:i w:val="0"/>
          <w:color w:val="111111"/>
          <w:sz w:val="22"/>
        </w:rPr>
        <w:t>The Lord labors with the servants. Agency matures into co-labor rather than autonomy understood as independence from relation.</w:t>
      </w:r>
    </w:p>
    <w:p>
      <w:pPr>
        <w:pStyle w:val="OutlineLabel"/>
      </w:pPr>
      <w:r>
        <w:rPr>
          <w:rFonts w:ascii="Calibri" w:hAnsi="Calibri"/>
          <w:b/>
          <w:i w:val="0"/>
          <w:color w:val="3E6654"/>
          <w:sz w:val="19"/>
        </w:rPr>
        <w:t>SCHOLARLY POSITIONING</w:t>
      </w:r>
    </w:p>
    <w:p>
      <w:pPr>
        <w:keepLines/>
      </w:pPr>
      <w:r>
        <w:rPr>
          <w:rFonts w:ascii="Calibri" w:hAnsi="Calibri"/>
          <w:b w:val="0"/>
          <w:i w:val="0"/>
          <w:color w:val="111111"/>
          <w:sz w:val="22"/>
        </w:rPr>
        <w:t>Belnap reads Israel both as communal tree and individual servant. This dual reading supports the distinction between formations acted upon and agents who learn to participate in their transformation.</w:t>
      </w:r>
    </w:p>
    <w:p>
      <w:pPr>
        <w:pStyle w:val="OutlineLabel"/>
      </w:pPr>
      <w:r>
        <w:rPr>
          <w:rFonts w:ascii="Calibri" w:hAnsi="Calibri"/>
          <w:b/>
          <w:i w:val="0"/>
          <w:color w:val="3E6654"/>
          <w:sz w:val="19"/>
        </w:rPr>
        <w:t>TRANSITION</w:t>
      </w:r>
    </w:p>
    <w:p>
      <w:pPr>
        <w:keepLines/>
      </w:pPr>
      <w:r>
        <w:rPr>
          <w:rFonts w:ascii="Calibri" w:hAnsi="Calibri"/>
          <w:b w:val="0"/>
          <w:i/>
          <w:color w:val="111111"/>
          <w:sz w:val="22"/>
        </w:rPr>
        <w:t>The servant matures, but the vineyard later degenerates. The contrast clarifies corruption as malformed growth rather than simple inactivity.</w:t>
      </w:r>
    </w:p>
    <w:p>
      <w:pPr>
        <w:pStyle w:val="Heading2"/>
      </w:pPr>
      <w:r>
        <w:t>7. Loftiness: When Growth Overcomes Formation</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5:29-49, especially 37-48.</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Interpret the allegory's second crisis as expansion beyond sustaining capacity.</w:t>
      </w:r>
    </w:p>
    <w:p>
      <w:pPr>
        <w:keepLines/>
      </w:pPr>
      <w:r>
        <w:rPr>
          <w:rFonts w:ascii="Calibri" w:hAnsi="Calibri"/>
          <w:b w:val="0"/>
          <w:i w:val="0"/>
          <w:color w:val="111111"/>
          <w:sz w:val="22"/>
        </w:rPr>
        <w:t>Key claims to develop:</w:t>
      </w:r>
    </w:p>
    <w:p>
      <w:pPr>
        <w:keepLines/>
        <w:spacing w:after="80" w:line="300" w:lineRule="auto"/>
        <w:numPr>
          <w:ilvl w:val="0"/>
          <w:numId w:val="17"/>
        </w:numPr>
      </w:pPr>
      <w:r>
        <w:rPr>
          <w:rFonts w:ascii="Calibri" w:hAnsi="Calibri"/>
          <w:b w:val="0"/>
          <w:i w:val="0"/>
          <w:color w:val="111111"/>
          <w:sz w:val="22"/>
        </w:rPr>
        <w:t>The vineyard is not barren; it is crowded with "all sorts of fruit." Multiplicity and productivity can conceal comprehensive corruption.</w:t>
      </w:r>
    </w:p>
    <w:p>
      <w:pPr>
        <w:keepLines/>
        <w:spacing w:after="80" w:line="300" w:lineRule="auto"/>
        <w:numPr>
          <w:ilvl w:val="0"/>
          <w:numId w:val="17"/>
        </w:numPr>
      </w:pPr>
      <w:r>
        <w:rPr>
          <w:rFonts w:ascii="Calibri" w:hAnsi="Calibri"/>
          <w:b w:val="0"/>
          <w:i w:val="0"/>
          <w:color w:val="111111"/>
          <w:sz w:val="22"/>
        </w:rPr>
        <w:t>The roots remain good, but good roots become ineffective when branches overrun them. Inheritance can survive nominally while losing formative power.</w:t>
      </w:r>
    </w:p>
    <w:p>
      <w:pPr>
        <w:keepLines/>
        <w:spacing w:after="80" w:line="300" w:lineRule="auto"/>
        <w:numPr>
          <w:ilvl w:val="0"/>
          <w:numId w:val="17"/>
        </w:numPr>
      </w:pPr>
      <w:r>
        <w:rPr>
          <w:rFonts w:ascii="Calibri" w:hAnsi="Calibri"/>
          <w:b w:val="0"/>
          <w:i w:val="0"/>
          <w:color w:val="111111"/>
          <w:sz w:val="22"/>
        </w:rPr>
        <w:t>The servant identifies "loftiness" as the cause: branches grow faster than the strength of the roots and take strength unto themselves.</w:t>
      </w:r>
    </w:p>
    <w:p>
      <w:pPr>
        <w:keepLines/>
        <w:spacing w:after="80" w:line="300" w:lineRule="auto"/>
        <w:numPr>
          <w:ilvl w:val="0"/>
          <w:numId w:val="17"/>
        </w:numPr>
      </w:pPr>
      <w:r>
        <w:rPr>
          <w:rFonts w:ascii="Calibri" w:hAnsi="Calibri"/>
          <w:b w:val="0"/>
          <w:i w:val="0"/>
          <w:color w:val="111111"/>
          <w:sz w:val="22"/>
        </w:rPr>
        <w:t>Loftiness names growth that consumes its conditions of possibility. It is expansion without adequate formation, accumulation without renewal, and outward complexity without inward capacity.</w:t>
      </w:r>
    </w:p>
    <w:p>
      <w:pPr>
        <w:keepLines/>
        <w:spacing w:after="80" w:line="300" w:lineRule="auto"/>
        <w:numPr>
          <w:ilvl w:val="0"/>
          <w:numId w:val="17"/>
        </w:numPr>
      </w:pPr>
      <w:r>
        <w:rPr>
          <w:rFonts w:ascii="Calibri" w:hAnsi="Calibri"/>
          <w:b w:val="0"/>
          <w:i w:val="0"/>
          <w:color w:val="111111"/>
          <w:sz w:val="22"/>
        </w:rPr>
        <w:t>This provides a bridge to the adult world: institutions may expand in law, technology, wealth, administration, and representation while weakening their capacity to sustain human life.</w:t>
      </w:r>
    </w:p>
    <w:p>
      <w:pPr>
        <w:keepLines/>
        <w:spacing w:after="80" w:line="300" w:lineRule="auto"/>
        <w:numPr>
          <w:ilvl w:val="0"/>
          <w:numId w:val="17"/>
        </w:numPr>
      </w:pPr>
      <w:r>
        <w:rPr>
          <w:rFonts w:ascii="Calibri" w:hAnsi="Calibri"/>
          <w:b w:val="0"/>
          <w:i w:val="0"/>
          <w:color w:val="111111"/>
          <w:sz w:val="22"/>
        </w:rPr>
        <w:t>The critique must remain analogical. The adult world is not simply "the bad branches" and children are not simply "the good branches"; both are internally differentiated fields.</w:t>
      </w:r>
    </w:p>
    <w:p>
      <w:pPr>
        <w:pStyle w:val="OutlineLabel"/>
      </w:pPr>
      <w:r>
        <w:rPr>
          <w:rFonts w:ascii="Calibri" w:hAnsi="Calibri"/>
          <w:b/>
          <w:i w:val="0"/>
          <w:color w:val="3E6654"/>
          <w:sz w:val="19"/>
        </w:rPr>
        <w:t>TRANSITION</w:t>
      </w:r>
    </w:p>
    <w:p>
      <w:pPr>
        <w:keepLines/>
      </w:pPr>
      <w:r>
        <w:rPr>
          <w:rFonts w:ascii="Calibri" w:hAnsi="Calibri"/>
          <w:b w:val="0"/>
          <w:i/>
          <w:color w:val="111111"/>
          <w:sz w:val="22"/>
        </w:rPr>
        <w:t>The failure of visible abundance makes absent good fruit newly decisive.</w:t>
      </w:r>
    </w:p>
    <w:p>
      <w:pPr>
        <w:pStyle w:val="Heading2"/>
      </w:pPr>
      <w:r>
        <w:t>8. "What Could I Have Done More?": Grief and the Normativity of Missing Fruit</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5:41-51; compare Isaiah 5:1-7.</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Introduce operative absence through the Lord's lament rather than through abstract metaphysics.</w:t>
      </w:r>
    </w:p>
    <w:p>
      <w:pPr>
        <w:keepLines/>
      </w:pPr>
      <w:r>
        <w:rPr>
          <w:rFonts w:ascii="Calibri" w:hAnsi="Calibri"/>
          <w:b w:val="0"/>
          <w:i w:val="0"/>
          <w:color w:val="111111"/>
          <w:sz w:val="22"/>
        </w:rPr>
        <w:t>Key claims to develop:</w:t>
      </w:r>
    </w:p>
    <w:p>
      <w:pPr>
        <w:keepLines/>
        <w:spacing w:after="80" w:line="300" w:lineRule="auto"/>
        <w:numPr>
          <w:ilvl w:val="0"/>
          <w:numId w:val="18"/>
        </w:numPr>
      </w:pPr>
      <w:r>
        <w:rPr>
          <w:rFonts w:ascii="Calibri" w:hAnsi="Calibri"/>
          <w:b w:val="0"/>
          <w:i w:val="0"/>
          <w:color w:val="111111"/>
          <w:sz w:val="22"/>
        </w:rPr>
        <w:t>Jacob 5 echoes Isaiah's vineyard song, especially the question of what more could have been done and the contrast between expected and corrupt fruit.</w:t>
      </w:r>
    </w:p>
    <w:p>
      <w:pPr>
        <w:keepLines/>
        <w:spacing w:after="80" w:line="300" w:lineRule="auto"/>
        <w:numPr>
          <w:ilvl w:val="0"/>
          <w:numId w:val="18"/>
        </w:numPr>
      </w:pPr>
      <w:r>
        <w:rPr>
          <w:rFonts w:ascii="Calibri" w:hAnsi="Calibri"/>
          <w:b w:val="0"/>
          <w:i w:val="0"/>
          <w:color w:val="111111"/>
          <w:sz w:val="22"/>
        </w:rPr>
        <w:t>The Lord's grief is directed toward a good that should have appeared but did not. Missing fruit becomes the standard by which present fruit is judged.</w:t>
      </w:r>
    </w:p>
    <w:p>
      <w:pPr>
        <w:keepLines/>
        <w:spacing w:after="80" w:line="300" w:lineRule="auto"/>
        <w:numPr>
          <w:ilvl w:val="0"/>
          <w:numId w:val="18"/>
        </w:numPr>
      </w:pPr>
      <w:r>
        <w:rPr>
          <w:rFonts w:ascii="Calibri" w:hAnsi="Calibri"/>
          <w:b w:val="0"/>
          <w:i w:val="0"/>
          <w:color w:val="111111"/>
          <w:sz w:val="22"/>
        </w:rPr>
        <w:t>An absence becomes operative when expectation, covenant, need, memory, or obligation makes nonappearance consequential.</w:t>
      </w:r>
    </w:p>
    <w:p>
      <w:pPr>
        <w:keepLines/>
        <w:spacing w:after="80" w:line="300" w:lineRule="auto"/>
        <w:numPr>
          <w:ilvl w:val="0"/>
          <w:numId w:val="18"/>
        </w:numPr>
      </w:pPr>
      <w:r>
        <w:rPr>
          <w:rFonts w:ascii="Calibri" w:hAnsi="Calibri"/>
          <w:b w:val="0"/>
          <w:i w:val="0"/>
          <w:color w:val="111111"/>
          <w:sz w:val="22"/>
        </w:rPr>
        <w:t>The Lord's lament does not end agency; it generates renewed deliberation: "What shall we do unto the tree?"</w:t>
      </w:r>
    </w:p>
    <w:p>
      <w:pPr>
        <w:keepLines/>
        <w:spacing w:after="80" w:line="300" w:lineRule="auto"/>
        <w:numPr>
          <w:ilvl w:val="0"/>
          <w:numId w:val="18"/>
        </w:numPr>
      </w:pPr>
      <w:r>
        <w:rPr>
          <w:rFonts w:ascii="Calibri" w:hAnsi="Calibri"/>
          <w:b w:val="0"/>
          <w:i w:val="0"/>
          <w:color w:val="111111"/>
          <w:sz w:val="22"/>
        </w:rPr>
        <w:t>The servant's "spare it a little longer" transforms absence into time for possible repair.</w:t>
      </w:r>
    </w:p>
    <w:p>
      <w:pPr>
        <w:keepLines/>
        <w:spacing w:after="80" w:line="300" w:lineRule="auto"/>
        <w:numPr>
          <w:ilvl w:val="0"/>
          <w:numId w:val="18"/>
        </w:numPr>
      </w:pPr>
      <w:r>
        <w:rPr>
          <w:rFonts w:ascii="Calibri" w:hAnsi="Calibri"/>
          <w:b w:val="0"/>
          <w:i w:val="0"/>
          <w:color w:val="111111"/>
          <w:sz w:val="22"/>
        </w:rPr>
        <w:t>Mercy is therefore temporal. It holds open an interval in which a presently absent good may acquire the strength to appear.</w:t>
      </w:r>
    </w:p>
    <w:p>
      <w:pPr>
        <w:keepLines/>
      </w:pPr>
      <w:r>
        <w:rPr>
          <w:rFonts w:ascii="Calibri" w:hAnsi="Calibri"/>
          <w:b w:val="0"/>
          <w:i w:val="0"/>
          <w:color w:val="111111"/>
          <w:sz w:val="22"/>
        </w:rPr>
        <w:t>Conceptual definition: Operative absence is an absent, omitted, displaced, lost, or unrealized term that reorganizes a field of action by altering expectation, constraint, memory, obligation, or possibility.</w:t>
      </w:r>
    </w:p>
    <w:p>
      <w:pPr>
        <w:pStyle w:val="OutlineLabel"/>
      </w:pPr>
      <w:r>
        <w:rPr>
          <w:rFonts w:ascii="Calibri" w:hAnsi="Calibri"/>
          <w:b/>
          <w:i w:val="0"/>
          <w:color w:val="3E6654"/>
          <w:sz w:val="19"/>
        </w:rPr>
        <w:t>TRANSITION</w:t>
      </w:r>
    </w:p>
    <w:p>
      <w:pPr>
        <w:keepLines/>
      </w:pPr>
      <w:r>
        <w:rPr>
          <w:rFonts w:ascii="Calibri" w:hAnsi="Calibri"/>
          <w:b w:val="0"/>
          <w:i/>
          <w:color w:val="111111"/>
          <w:sz w:val="22"/>
        </w:rPr>
        <w:t>The young and tender branch is the allegory's clearest figure for a presently living being around whom an unrealized future is already operative.</w:t>
      </w:r>
    </w:p>
    <w:p>
      <w:pPr>
        <w:pStyle w:val="Heading2"/>
      </w:pPr>
      <w:r>
        <w:t>9. Child-Force: The Tender Branch as an Open Formation</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5:4-8, 13-14; return to Jacob 4:2-4.</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Define child-force as a specific mode of human force while resisting the reduction of children to future adults.</w:t>
      </w:r>
    </w:p>
    <w:p>
      <w:pPr>
        <w:pStyle w:val="OutlineLabel"/>
      </w:pPr>
      <w:r>
        <w:rPr>
          <w:rFonts w:ascii="Calibri" w:hAnsi="Calibri"/>
          <w:b/>
          <w:i w:val="0"/>
          <w:color w:val="3E6654"/>
          <w:sz w:val="19"/>
        </w:rPr>
        <w:t>DEFINITION</w:t>
      </w:r>
    </w:p>
    <w:p>
      <w:pPr>
        <w:keepLines/>
      </w:pPr>
      <w:r>
        <w:rPr>
          <w:rFonts w:ascii="Calibri" w:hAnsi="Calibri"/>
          <w:b w:val="0"/>
          <w:i w:val="0"/>
          <w:color w:val="111111"/>
          <w:sz w:val="22"/>
        </w:rPr>
        <w:t>Child-force is the present and generational capacity of the child to reorganize relationships, obligations, attention, memory, and the world's accessible future states through vulnerability, plasticity, divergence, and delayed effects.</w:t>
      </w:r>
    </w:p>
    <w:p>
      <w:pPr>
        <w:keepLines/>
      </w:pPr>
      <w:r>
        <w:rPr>
          <w:rFonts w:ascii="Calibri" w:hAnsi="Calibri"/>
          <w:b w:val="0"/>
          <w:i w:val="0"/>
          <w:color w:val="111111"/>
          <w:sz w:val="22"/>
        </w:rPr>
        <w:t>Key claims to develop:</w:t>
      </w:r>
    </w:p>
    <w:p>
      <w:pPr>
        <w:keepLines/>
        <w:spacing w:after="80" w:line="300" w:lineRule="auto"/>
        <w:numPr>
          <w:ilvl w:val="0"/>
          <w:numId w:val="19"/>
        </w:numPr>
      </w:pPr>
      <w:r>
        <w:rPr>
          <w:rFonts w:ascii="Calibri" w:hAnsi="Calibri"/>
          <w:b w:val="0"/>
          <w:i w:val="0"/>
          <w:color w:val="111111"/>
          <w:sz w:val="22"/>
        </w:rPr>
        <w:t>The child is already forceful in the present: a child reorganizes households, speech, time, care, law, economy, and adult self-understanding.</w:t>
      </w:r>
    </w:p>
    <w:p>
      <w:pPr>
        <w:keepLines/>
        <w:spacing w:after="80" w:line="300" w:lineRule="auto"/>
        <w:numPr>
          <w:ilvl w:val="0"/>
          <w:numId w:val="19"/>
        </w:numPr>
      </w:pPr>
      <w:r>
        <w:rPr>
          <w:rFonts w:ascii="Calibri" w:hAnsi="Calibri"/>
          <w:b w:val="0"/>
          <w:i w:val="0"/>
          <w:color w:val="111111"/>
          <w:sz w:val="22"/>
        </w:rPr>
        <w:t>The child's vulnerability is not the opposite of force. Vulnerability solicits responses and redistributes obligations, although those responses may nourish, discipline, exploit, or neglect.</w:t>
      </w:r>
    </w:p>
    <w:p>
      <w:pPr>
        <w:keepLines/>
        <w:spacing w:after="80" w:line="300" w:lineRule="auto"/>
        <w:numPr>
          <w:ilvl w:val="0"/>
          <w:numId w:val="19"/>
        </w:numPr>
      </w:pPr>
      <w:r>
        <w:rPr>
          <w:rFonts w:ascii="Calibri" w:hAnsi="Calibri"/>
          <w:b w:val="0"/>
          <w:i w:val="0"/>
          <w:color w:val="111111"/>
          <w:sz w:val="22"/>
        </w:rPr>
        <w:t>Immaturity is not incompleteness measured solely against adulthood. It is a phase in which formation remains unusually open and consequential.</w:t>
      </w:r>
    </w:p>
    <w:p>
      <w:pPr>
        <w:keepLines/>
        <w:spacing w:after="80" w:line="300" w:lineRule="auto"/>
        <w:numPr>
          <w:ilvl w:val="0"/>
          <w:numId w:val="19"/>
        </w:numPr>
      </w:pPr>
      <w:r>
        <w:rPr>
          <w:rFonts w:ascii="Calibri" w:hAnsi="Calibri"/>
          <w:b w:val="0"/>
          <w:i w:val="0"/>
          <w:color w:val="111111"/>
          <w:sz w:val="22"/>
        </w:rPr>
        <w:t>The tender branch carries inherited life without being identical to the old tree's exhausted form. It can transmit, differentiate, or interrupt inheritance.</w:t>
      </w:r>
    </w:p>
    <w:p>
      <w:pPr>
        <w:keepLines/>
        <w:spacing w:after="80" w:line="300" w:lineRule="auto"/>
        <w:numPr>
          <w:ilvl w:val="0"/>
          <w:numId w:val="19"/>
        </w:numPr>
      </w:pPr>
      <w:r>
        <w:rPr>
          <w:rFonts w:ascii="Calibri" w:hAnsi="Calibri"/>
          <w:b w:val="0"/>
          <w:i w:val="0"/>
          <w:color w:val="111111"/>
          <w:sz w:val="22"/>
        </w:rPr>
        <w:t>The future passes through the child, but the child must not be valued only as the carrier of that future.</w:t>
      </w:r>
    </w:p>
    <w:p>
      <w:pPr>
        <w:pStyle w:val="OutlineLabel"/>
      </w:pPr>
      <w:r>
        <w:rPr>
          <w:rFonts w:ascii="Calibri" w:hAnsi="Calibri"/>
          <w:b/>
          <w:i w:val="0"/>
          <w:color w:val="3E6654"/>
          <w:sz w:val="19"/>
        </w:rPr>
        <w:t>SCHOLARLY INTERLOCUTORS</w:t>
      </w:r>
    </w:p>
    <w:p>
      <w:pPr>
        <w:keepLines/>
        <w:spacing w:after="80" w:line="300" w:lineRule="auto"/>
        <w:numPr>
          <w:ilvl w:val="0"/>
          <w:numId w:val="20"/>
        </w:numPr>
      </w:pPr>
      <w:r>
        <w:rPr>
          <w:rFonts w:ascii="Calibri" w:hAnsi="Calibri"/>
          <w:b w:val="0"/>
          <w:i w:val="0"/>
          <w:color w:val="111111"/>
          <w:sz w:val="22"/>
        </w:rPr>
        <w:t>Hannah Arendt's natality links birth with the human capacity to begin and introduces education as responsibility for both child and world.</w:t>
      </w:r>
    </w:p>
    <w:p>
      <w:pPr>
        <w:keepLines/>
        <w:spacing w:after="80" w:line="300" w:lineRule="auto"/>
        <w:numPr>
          <w:ilvl w:val="0"/>
          <w:numId w:val="20"/>
        </w:numPr>
      </w:pPr>
      <w:r>
        <w:rPr>
          <w:rFonts w:ascii="Calibri" w:hAnsi="Calibri"/>
          <w:b w:val="0"/>
          <w:i w:val="0"/>
          <w:color w:val="111111"/>
          <w:sz w:val="22"/>
        </w:rPr>
        <w:t>Jens Qvortrup warns that "human becoming" frameworks can instrumentalize children by valuing investments only through later adult outcomes.</w:t>
      </w:r>
    </w:p>
    <w:p>
      <w:pPr>
        <w:keepLines/>
        <w:spacing w:after="80" w:line="300" w:lineRule="auto"/>
        <w:numPr>
          <w:ilvl w:val="0"/>
          <w:numId w:val="20"/>
        </w:numPr>
      </w:pPr>
      <w:r>
        <w:rPr>
          <w:rFonts w:ascii="Calibri" w:hAnsi="Calibri"/>
          <w:b w:val="0"/>
          <w:i w:val="0"/>
          <w:color w:val="111111"/>
          <w:sz w:val="22"/>
        </w:rPr>
        <w:t>Contemporary children's-agency research supports a relational account in which children act within, and alter, family, school, and social processes rather than exercising isolated sovereign autonomy.</w:t>
      </w:r>
    </w:p>
    <w:p>
      <w:pPr>
        <w:pStyle w:val="OutlineLabel"/>
      </w:pPr>
      <w:r>
        <w:rPr>
          <w:rFonts w:ascii="Calibri" w:hAnsi="Calibri"/>
          <w:b/>
          <w:i w:val="0"/>
          <w:color w:val="3E6654"/>
          <w:sz w:val="19"/>
        </w:rPr>
        <w:t>CRITICAL DISTINCTION</w:t>
      </w:r>
    </w:p>
    <w:p>
      <w:pPr>
        <w:keepLines/>
      </w:pPr>
      <w:r>
        <w:rPr>
          <w:rFonts w:ascii="Calibri" w:hAnsi="Calibri"/>
          <w:b w:val="0"/>
          <w:i w:val="0"/>
          <w:color w:val="111111"/>
          <w:sz w:val="22"/>
        </w:rPr>
        <w:t>Child-force names neither innocence nor automatic goodness. Like every branch, the child is capable of varied fruit. Its philosophical importance lies in openness, temporal reach, and the asymmetric conditions under which adults act upon it.</w:t>
      </w:r>
    </w:p>
    <w:p>
      <w:pPr>
        <w:pStyle w:val="OutlineLabel"/>
      </w:pPr>
      <w:r>
        <w:rPr>
          <w:rFonts w:ascii="Calibri" w:hAnsi="Calibri"/>
          <w:b/>
          <w:i w:val="0"/>
          <w:color w:val="3E6654"/>
          <w:sz w:val="19"/>
        </w:rPr>
        <w:t>TRANSITION</w:t>
      </w:r>
    </w:p>
    <w:p>
      <w:pPr>
        <w:keepLines/>
      </w:pPr>
      <w:r>
        <w:rPr>
          <w:rFonts w:ascii="Calibri" w:hAnsi="Calibri"/>
          <w:b w:val="0"/>
          <w:i/>
          <w:color w:val="111111"/>
          <w:sz w:val="22"/>
        </w:rPr>
        <w:t>The adult world attempts to govern the child's absent future; the concept of operative absence reveals both the necessity and danger of that anticipation.</w:t>
      </w:r>
    </w:p>
    <w:p>
      <w:pPr>
        <w:pStyle w:val="Heading2"/>
      </w:pPr>
      <w:r>
        <w:t>10. The Adult World and the Colonization of the Not-Yet</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5:21-25, 37-48, 65-66.</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Analyze the asymmetry between the established world and the child-world.</w:t>
      </w:r>
    </w:p>
    <w:p>
      <w:pPr>
        <w:keepLines/>
      </w:pPr>
      <w:r>
        <w:rPr>
          <w:rFonts w:ascii="Calibri" w:hAnsi="Calibri"/>
          <w:b w:val="0"/>
          <w:i w:val="0"/>
          <w:color w:val="111111"/>
          <w:sz w:val="22"/>
        </w:rPr>
        <w:t>Key claims to develop:</w:t>
      </w:r>
    </w:p>
    <w:p>
      <w:pPr>
        <w:keepLines/>
        <w:spacing w:after="80" w:line="300" w:lineRule="auto"/>
        <w:numPr>
          <w:ilvl w:val="0"/>
          <w:numId w:val="21"/>
        </w:numPr>
      </w:pPr>
      <w:r>
        <w:rPr>
          <w:rFonts w:ascii="Calibri" w:hAnsi="Calibri"/>
          <w:b w:val="0"/>
          <w:i w:val="0"/>
          <w:color w:val="111111"/>
          <w:sz w:val="22"/>
        </w:rPr>
        <w:t>The child enters an adult-built field of language, law, education, religion, economy, media, architecture, and family before reciprocal power is possible.</w:t>
      </w:r>
    </w:p>
    <w:p>
      <w:pPr>
        <w:keepLines/>
        <w:spacing w:after="80" w:line="300" w:lineRule="auto"/>
        <w:numPr>
          <w:ilvl w:val="0"/>
          <w:numId w:val="21"/>
        </w:numPr>
      </w:pPr>
      <w:r>
        <w:rPr>
          <w:rFonts w:ascii="Calibri" w:hAnsi="Calibri"/>
          <w:b w:val="0"/>
          <w:i w:val="0"/>
          <w:color w:val="111111"/>
          <w:sz w:val="22"/>
        </w:rPr>
        <w:t>Adults necessarily anticipate children's futures; care itself requires acting for needs and dangers not yet fully articulable.</w:t>
      </w:r>
    </w:p>
    <w:p>
      <w:pPr>
        <w:keepLines/>
        <w:spacing w:after="80" w:line="300" w:lineRule="auto"/>
        <w:numPr>
          <w:ilvl w:val="0"/>
          <w:numId w:val="21"/>
        </w:numPr>
      </w:pPr>
      <w:r>
        <w:rPr>
          <w:rFonts w:ascii="Calibri" w:hAnsi="Calibri"/>
          <w:b w:val="0"/>
          <w:i w:val="0"/>
          <w:color w:val="111111"/>
          <w:sz w:val="22"/>
        </w:rPr>
        <w:t>Anticipation becomes domination when the adult world substitutes its preferred outcome for the child's open range of becoming.</w:t>
      </w:r>
    </w:p>
    <w:p>
      <w:pPr>
        <w:keepLines/>
        <w:spacing w:after="80" w:line="300" w:lineRule="auto"/>
        <w:numPr>
          <w:ilvl w:val="0"/>
          <w:numId w:val="21"/>
        </w:numPr>
      </w:pPr>
      <w:r>
        <w:rPr>
          <w:rFonts w:ascii="Calibri" w:hAnsi="Calibri"/>
          <w:b w:val="0"/>
          <w:i w:val="0"/>
          <w:color w:val="111111"/>
          <w:sz w:val="22"/>
        </w:rPr>
        <w:t>Arendt's warning against removing from newcomers "their own chance at the new" clarifies the danger of predetermined formation.</w:t>
      </w:r>
    </w:p>
    <w:p>
      <w:pPr>
        <w:keepLines/>
        <w:spacing w:after="80" w:line="300" w:lineRule="auto"/>
        <w:numPr>
          <w:ilvl w:val="0"/>
          <w:numId w:val="21"/>
        </w:numPr>
      </w:pPr>
      <w:r>
        <w:rPr>
          <w:rFonts w:ascii="Calibri" w:hAnsi="Calibri"/>
          <w:b w:val="0"/>
          <w:i w:val="0"/>
          <w:color w:val="111111"/>
          <w:sz w:val="22"/>
        </w:rPr>
        <w:t>The allegory's poor and choice soils caution against developmental determinism: neither disadvantage nor privilege predicts fruit completely.</w:t>
      </w:r>
    </w:p>
    <w:p>
      <w:pPr>
        <w:keepLines/>
        <w:spacing w:after="80" w:line="300" w:lineRule="auto"/>
        <w:numPr>
          <w:ilvl w:val="0"/>
          <w:numId w:val="21"/>
        </w:numPr>
      </w:pPr>
      <w:r>
        <w:rPr>
          <w:rFonts w:ascii="Calibri" w:hAnsi="Calibri"/>
          <w:b w:val="0"/>
          <w:i w:val="0"/>
          <w:color w:val="111111"/>
          <w:sz w:val="22"/>
        </w:rPr>
        <w:t>The proper task is not to leave the branch uncultivated but to cultivate without exhausting its range of response.</w:t>
      </w:r>
    </w:p>
    <w:p>
      <w:pPr>
        <w:pStyle w:val="OutlineLabel"/>
      </w:pPr>
      <w:r>
        <w:rPr>
          <w:rFonts w:ascii="Calibri" w:hAnsi="Calibri"/>
          <w:b/>
          <w:i w:val="0"/>
          <w:color w:val="3E6654"/>
          <w:sz w:val="19"/>
        </w:rPr>
        <w:t>TRANSITION</w:t>
      </w:r>
    </w:p>
    <w:p>
      <w:pPr>
        <w:keepLines/>
      </w:pPr>
      <w:r>
        <w:rPr>
          <w:rFonts w:ascii="Calibri" w:hAnsi="Calibri"/>
          <w:b w:val="0"/>
          <w:i/>
          <w:color w:val="111111"/>
          <w:sz w:val="22"/>
        </w:rPr>
        <w:t>To formulate that task precisely, the chapter must distinguish kinds of operative absence by duration and effect.</w:t>
      </w:r>
    </w:p>
    <w:p>
      <w:pPr>
        <w:pStyle w:val="Heading2"/>
      </w:pPr>
      <w:r>
        <w:t>11. A Taxonomy of Operative Absence in the Vineyard</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5:8, 13, 15, 27, 29, 41-51, 61-66, 75-77.</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Develop the chapter's central concept through textual cases.</w:t>
      </w:r>
    </w:p>
    <w:p>
      <w:pPr>
        <w:pStyle w:val="Heading3"/>
      </w:pPr>
      <w:r>
        <w:t>11.1 Anticipatory operative absence</w:t>
      </w:r>
    </w:p>
    <w:p>
      <w:pPr>
        <w:keepLines/>
      </w:pPr>
      <w:r>
        <w:rPr>
          <w:rFonts w:ascii="Calibri" w:hAnsi="Calibri"/>
          <w:b w:val="0"/>
          <w:i w:val="0"/>
          <w:color w:val="111111"/>
          <w:sz w:val="22"/>
        </w:rPr>
        <w:t>The fruit "against the season" does not yet exist, but the Lord prunes, grafts, transplants, and waits for it. The future acts through expectation and directed labor.</w:t>
      </w:r>
    </w:p>
    <w:p>
      <w:pPr>
        <w:pStyle w:val="Heading3"/>
      </w:pPr>
      <w:r>
        <w:t>11.2 Displaced operative absence</w:t>
      </w:r>
    </w:p>
    <w:p>
      <w:pPr>
        <w:keepLines/>
      </w:pPr>
      <w:r>
        <w:rPr>
          <w:rFonts w:ascii="Calibri" w:hAnsi="Calibri"/>
          <w:b w:val="0"/>
          <w:i w:val="0"/>
          <w:color w:val="111111"/>
          <w:sz w:val="22"/>
        </w:rPr>
        <w:t>Natural branches are absent from the mother tree but alive elsewhere. Their displacement changes the mother tree, preserves alternative lines of development, and makes later regrafting possible.</w:t>
      </w:r>
    </w:p>
    <w:p>
      <w:pPr>
        <w:pStyle w:val="Heading3"/>
      </w:pPr>
      <w:r>
        <w:t>11.3 Omissive operative absence</w:t>
      </w:r>
    </w:p>
    <w:p>
      <w:pPr>
        <w:keepLines/>
      </w:pPr>
      <w:r>
        <w:rPr>
          <w:rFonts w:ascii="Calibri" w:hAnsi="Calibri"/>
          <w:b w:val="0"/>
          <w:i w:val="0"/>
          <w:color w:val="111111"/>
          <w:sz w:val="22"/>
        </w:rPr>
        <w:t>The failure to remove corrupt branches allows them to overcome the good branch (Jacob 5:45). What was not done becomes legible through its consequences. This case should be placed in conversation with philosophical debates over omission causation without assuming that absences are ordinary positive events.</w:t>
      </w:r>
    </w:p>
    <w:p>
      <w:pPr>
        <w:pStyle w:val="Heading3"/>
      </w:pPr>
      <w:r>
        <w:t>11.4 Normative operative absence</w:t>
      </w:r>
    </w:p>
    <w:p>
      <w:pPr>
        <w:keepLines/>
      </w:pPr>
      <w:r>
        <w:rPr>
          <w:rFonts w:ascii="Calibri" w:hAnsi="Calibri"/>
          <w:b w:val="0"/>
          <w:i w:val="0"/>
          <w:color w:val="111111"/>
          <w:sz w:val="22"/>
        </w:rPr>
        <w:t>Good fruit ought to have appeared. Its nonappearance generates grief, judgment, and renewed action because covenant supplies a norm against which the absence becomes meaningful.</w:t>
      </w:r>
    </w:p>
    <w:p>
      <w:pPr>
        <w:pStyle w:val="Heading3"/>
      </w:pPr>
      <w:r>
        <w:t>11.5 Memorial operative absence</w:t>
      </w:r>
    </w:p>
    <w:p>
      <w:pPr>
        <w:keepLines/>
      </w:pPr>
      <w:r>
        <w:rPr>
          <w:rFonts w:ascii="Calibri" w:hAnsi="Calibri"/>
          <w:b w:val="0"/>
          <w:i w:val="0"/>
          <w:color w:val="111111"/>
          <w:sz w:val="22"/>
        </w:rPr>
        <w:t>Branches and generations that have died do not return as though nothing happened. Their loss persists in the altered structure, memory, and obligations of the surviving vineyard.</w:t>
      </w:r>
    </w:p>
    <w:p>
      <w:pPr>
        <w:pStyle w:val="Heading3"/>
      </w:pPr>
      <w:r>
        <w:t>11.6 Eschatological operative absence</w:t>
      </w:r>
    </w:p>
    <w:p>
      <w:pPr>
        <w:keepLines/>
      </w:pPr>
      <w:r>
        <w:rPr>
          <w:rFonts w:ascii="Calibri" w:hAnsi="Calibri"/>
          <w:b w:val="0"/>
          <w:i w:val="0"/>
          <w:color w:val="111111"/>
          <w:sz w:val="22"/>
        </w:rPr>
        <w:t>The approaching season and end reorganize present labor. The final future is absent, yet urgency increases because the field is understood in relation to it.</w:t>
      </w:r>
    </w:p>
    <w:p>
      <w:pPr>
        <w:pStyle w:val="OutlineLabel"/>
      </w:pPr>
      <w:r>
        <w:rPr>
          <w:rFonts w:ascii="Calibri" w:hAnsi="Calibri"/>
          <w:b/>
          <w:i w:val="0"/>
          <w:color w:val="3E6654"/>
          <w:sz w:val="19"/>
        </w:rPr>
        <w:t>SCHOLARLY POSITIONING</w:t>
      </w:r>
    </w:p>
    <w:p>
      <w:pPr>
        <w:keepLines/>
      </w:pPr>
      <w:r>
        <w:rPr>
          <w:rFonts w:ascii="Calibri" w:hAnsi="Calibri"/>
          <w:b w:val="0"/>
          <w:i w:val="0"/>
          <w:color w:val="111111"/>
          <w:sz w:val="22"/>
        </w:rPr>
        <w:t>Contemporary metaphysics recognizes that omissions and absences pose a genuine problem for theories of causation. Recent sociology likewise argues that perceived absences can generate actionable imperatives. These debates support the question's legitimacy, while the chapter's taxonomy remains its own account of how absence becomes efficacious.</w:t>
      </w:r>
    </w:p>
    <w:p>
      <w:pPr>
        <w:pStyle w:val="OutlineLabel"/>
      </w:pPr>
      <w:r>
        <w:rPr>
          <w:rFonts w:ascii="Calibri" w:hAnsi="Calibri"/>
          <w:b/>
          <w:i w:val="0"/>
          <w:color w:val="3E6654"/>
          <w:sz w:val="19"/>
        </w:rPr>
        <w:t>TRANSITION</w:t>
      </w:r>
    </w:p>
    <w:p>
      <w:pPr>
        <w:keepLines/>
      </w:pPr>
      <w:r>
        <w:rPr>
          <w:rFonts w:ascii="Calibri" w:hAnsi="Calibri"/>
          <w:b w:val="0"/>
          <w:i/>
          <w:color w:val="111111"/>
          <w:sz w:val="22"/>
        </w:rPr>
        <w:t>Duration now becomes decisive: some operative absences terminate when their absent term arrives, while others become durable conditions of subsequent formation.</w:t>
      </w:r>
    </w:p>
    <w:p>
      <w:pPr>
        <w:pStyle w:val="Heading2"/>
      </w:pPr>
      <w:r>
        <w:t>12. Intermittent and Permanent Operative Absence</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5:15, 29, 39-45, 52-60, 73-77.</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Distinguish temporal persistence of effects, not merely whether something returns.</w:t>
      </w:r>
    </w:p>
    <w:p>
      <w:pPr>
        <w:pStyle w:val="Heading3"/>
      </w:pPr>
      <w:r>
        <w:t>12.1 Intermittent operative absence</w:t>
      </w:r>
    </w:p>
    <w:p>
      <w:pPr>
        <w:keepLines/>
        <w:spacing w:after="80" w:line="300" w:lineRule="auto"/>
        <w:numPr>
          <w:ilvl w:val="0"/>
          <w:numId w:val="22"/>
        </w:numPr>
      </w:pPr>
      <w:r>
        <w:rPr>
          <w:rFonts w:ascii="Calibri" w:hAnsi="Calibri"/>
          <w:b w:val="0"/>
          <w:i w:val="0"/>
          <w:color w:val="111111"/>
          <w:sz w:val="22"/>
        </w:rPr>
        <w:t>Good fruit is absent while a graft grows but may later appear.</w:t>
      </w:r>
    </w:p>
    <w:p>
      <w:pPr>
        <w:keepLines/>
        <w:spacing w:after="80" w:line="300" w:lineRule="auto"/>
        <w:numPr>
          <w:ilvl w:val="0"/>
          <w:numId w:val="22"/>
        </w:numPr>
      </w:pPr>
      <w:r>
        <w:rPr>
          <w:rFonts w:ascii="Calibri" w:hAnsi="Calibri"/>
          <w:b w:val="0"/>
          <w:i w:val="0"/>
          <w:color w:val="111111"/>
          <w:sz w:val="22"/>
        </w:rPr>
        <w:t>The Lord is absent from inspection during the allegory's "long time" intervals, yet prior commands and future return continue to organize the servant's labor.</w:t>
      </w:r>
    </w:p>
    <w:p>
      <w:pPr>
        <w:keepLines/>
        <w:spacing w:after="80" w:line="300" w:lineRule="auto"/>
        <w:numPr>
          <w:ilvl w:val="0"/>
          <w:numId w:val="22"/>
        </w:numPr>
      </w:pPr>
      <w:r>
        <w:rPr>
          <w:rFonts w:ascii="Calibri" w:hAnsi="Calibri"/>
          <w:b w:val="0"/>
          <w:i w:val="0"/>
          <w:color w:val="111111"/>
          <w:sz w:val="22"/>
        </w:rPr>
        <w:t>A branch is absent from the mother tree during scattering but may later be regrafted.</w:t>
      </w:r>
    </w:p>
    <w:p>
      <w:pPr>
        <w:keepLines/>
        <w:spacing w:after="80" w:line="300" w:lineRule="auto"/>
        <w:numPr>
          <w:ilvl w:val="0"/>
          <w:numId w:val="22"/>
        </w:numPr>
      </w:pPr>
      <w:r>
        <w:rPr>
          <w:rFonts w:ascii="Calibri" w:hAnsi="Calibri"/>
          <w:b w:val="0"/>
          <w:i w:val="0"/>
          <w:color w:val="111111"/>
          <w:sz w:val="22"/>
        </w:rPr>
        <w:t>Intermittence describes effects that arise, recede, or end when conditions change.</w:t>
      </w:r>
    </w:p>
    <w:p>
      <w:pPr>
        <w:pStyle w:val="Heading3"/>
      </w:pPr>
      <w:r>
        <w:t>12.2 Permanent operative absence</w:t>
      </w:r>
    </w:p>
    <w:p>
      <w:pPr>
        <w:keepLines/>
        <w:spacing w:after="80" w:line="300" w:lineRule="auto"/>
        <w:numPr>
          <w:ilvl w:val="0"/>
          <w:numId w:val="23"/>
        </w:numPr>
      </w:pPr>
      <w:r>
        <w:rPr>
          <w:rFonts w:ascii="Calibri" w:hAnsi="Calibri"/>
          <w:b w:val="0"/>
          <w:i w:val="0"/>
          <w:color w:val="111111"/>
          <w:sz w:val="22"/>
        </w:rPr>
        <w:t>A destroyed branch, lost generation, broken relation, or formative injury cannot be made historically nonexistent.</w:t>
      </w:r>
    </w:p>
    <w:p>
      <w:pPr>
        <w:keepLines/>
        <w:spacing w:after="80" w:line="300" w:lineRule="auto"/>
        <w:numPr>
          <w:ilvl w:val="0"/>
          <w:numId w:val="23"/>
        </w:numPr>
      </w:pPr>
      <w:r>
        <w:rPr>
          <w:rFonts w:ascii="Calibri" w:hAnsi="Calibri"/>
          <w:b w:val="0"/>
          <w:i w:val="0"/>
          <w:color w:val="111111"/>
          <w:sz w:val="22"/>
        </w:rPr>
        <w:t>Regrafting may repair continuity without erasing the effects of rupture.</w:t>
      </w:r>
    </w:p>
    <w:p>
      <w:pPr>
        <w:keepLines/>
        <w:spacing w:after="80" w:line="300" w:lineRule="auto"/>
        <w:numPr>
          <w:ilvl w:val="0"/>
          <w:numId w:val="23"/>
        </w:numPr>
      </w:pPr>
      <w:r>
        <w:rPr>
          <w:rFonts w:ascii="Calibri" w:hAnsi="Calibri"/>
          <w:b w:val="0"/>
          <w:i w:val="0"/>
          <w:color w:val="111111"/>
          <w:sz w:val="22"/>
        </w:rPr>
        <w:t>The restored tree bears the history of scattering, mixture, loss, and cultivation in its present structure.</w:t>
      </w:r>
    </w:p>
    <w:p>
      <w:pPr>
        <w:keepLines/>
        <w:spacing w:after="80" w:line="300" w:lineRule="auto"/>
        <w:numPr>
          <w:ilvl w:val="0"/>
          <w:numId w:val="23"/>
        </w:numPr>
      </w:pPr>
      <w:r>
        <w:rPr>
          <w:rFonts w:ascii="Calibri" w:hAnsi="Calibri"/>
          <w:b w:val="0"/>
          <w:i w:val="0"/>
          <w:color w:val="111111"/>
          <w:sz w:val="22"/>
        </w:rPr>
        <w:t>Permanence refers to durable constitution: the absence continues to shape what follows even when compensation, reconciliation, or renewed fruit becomes possible.</w:t>
      </w:r>
    </w:p>
    <w:p>
      <w:pPr>
        <w:pStyle w:val="OutlineLabel"/>
      </w:pPr>
      <w:r>
        <w:rPr>
          <w:rFonts w:ascii="Calibri" w:hAnsi="Calibri"/>
          <w:b/>
          <w:i w:val="0"/>
          <w:color w:val="3E6654"/>
          <w:sz w:val="19"/>
        </w:rPr>
        <w:t>APPLICATION TO CHILDHOOD</w:t>
      </w:r>
    </w:p>
    <w:p>
      <w:pPr>
        <w:keepLines/>
      </w:pPr>
      <w:r>
        <w:rPr>
          <w:rFonts w:ascii="Calibri" w:hAnsi="Calibri"/>
          <w:b w:val="0"/>
          <w:i w:val="0"/>
          <w:color w:val="111111"/>
          <w:sz w:val="22"/>
        </w:rPr>
        <w:t>Some unmet needs can be answered later; others permanently alter the child's developmental and relational field. The claim should not become fatalistic. Permanent effect does not mean permanent incapacity; it means that repair proceeds through an altered history rather than returning to an untouched beginning.</w:t>
      </w:r>
    </w:p>
    <w:p>
      <w:pPr>
        <w:pStyle w:val="OutlineLabel"/>
      </w:pPr>
      <w:r>
        <w:rPr>
          <w:rFonts w:ascii="Calibri" w:hAnsi="Calibri"/>
          <w:b/>
          <w:i w:val="0"/>
          <w:color w:val="3E6654"/>
          <w:sz w:val="19"/>
        </w:rPr>
        <w:t>TRANSITION</w:t>
      </w:r>
    </w:p>
    <w:p>
      <w:pPr>
        <w:keepLines/>
      </w:pPr>
      <w:r>
        <w:rPr>
          <w:rFonts w:ascii="Calibri" w:hAnsi="Calibri"/>
          <w:b w:val="0"/>
          <w:i/>
          <w:color w:val="111111"/>
          <w:sz w:val="22"/>
        </w:rPr>
        <w:t>The final regrafting can now be interpreted as repair without historical reset.</w:t>
      </w:r>
    </w:p>
    <w:p>
      <w:pPr>
        <w:pStyle w:val="Heading2"/>
      </w:pPr>
      <w:r>
        <w:t>13. Regrafting and the Ethics of Gradual Transformation</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5:52-69, especially 57-66.</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Present the allegory's final cultivation as a model of non-destructive transformation.</w:t>
      </w:r>
    </w:p>
    <w:p>
      <w:pPr>
        <w:keepLines/>
      </w:pPr>
      <w:r>
        <w:rPr>
          <w:rFonts w:ascii="Calibri" w:hAnsi="Calibri"/>
          <w:b w:val="0"/>
          <w:i w:val="0"/>
          <w:color w:val="111111"/>
          <w:sz w:val="22"/>
        </w:rPr>
        <w:t>Key claims to develop:</w:t>
      </w:r>
    </w:p>
    <w:p>
      <w:pPr>
        <w:keepLines/>
        <w:spacing w:after="80" w:line="300" w:lineRule="auto"/>
        <w:numPr>
          <w:ilvl w:val="0"/>
          <w:numId w:val="24"/>
        </w:numPr>
      </w:pPr>
      <w:r>
        <w:rPr>
          <w:rFonts w:ascii="Calibri" w:hAnsi="Calibri"/>
          <w:b w:val="0"/>
          <w:i w:val="0"/>
          <w:color w:val="111111"/>
          <w:sz w:val="22"/>
        </w:rPr>
        <w:t>Restoration is reciprocal: branches from dispersed trees return to the mother tree, and branches from the mother tree enter the dispersed trees.</w:t>
      </w:r>
    </w:p>
    <w:p>
      <w:pPr>
        <w:keepLines/>
        <w:spacing w:after="80" w:line="300" w:lineRule="auto"/>
        <w:numPr>
          <w:ilvl w:val="0"/>
          <w:numId w:val="24"/>
        </w:numPr>
      </w:pPr>
      <w:r>
        <w:rPr>
          <w:rFonts w:ascii="Calibri" w:hAnsi="Calibri"/>
          <w:b w:val="0"/>
          <w:i w:val="0"/>
          <w:color w:val="111111"/>
          <w:sz w:val="22"/>
        </w:rPr>
        <w:t>Gathering is exchange and renewed relation, not simple absorption into an unchanged center.</w:t>
      </w:r>
    </w:p>
    <w:p>
      <w:pPr>
        <w:keepLines/>
        <w:spacing w:after="80" w:line="300" w:lineRule="auto"/>
        <w:numPr>
          <w:ilvl w:val="0"/>
          <w:numId w:val="24"/>
        </w:numPr>
      </w:pPr>
      <w:r>
        <w:rPr>
          <w:rFonts w:ascii="Calibri" w:hAnsi="Calibri"/>
          <w:b w:val="0"/>
          <w:i w:val="0"/>
          <w:color w:val="111111"/>
          <w:sz w:val="22"/>
        </w:rPr>
        <w:t>The Lord forbids removing all wild branches at once. Bad growth must be cleared "according to the strength of the good and the size thereof."</w:t>
      </w:r>
    </w:p>
    <w:p>
      <w:pPr>
        <w:keepLines/>
        <w:spacing w:after="80" w:line="300" w:lineRule="auto"/>
        <w:numPr>
          <w:ilvl w:val="0"/>
          <w:numId w:val="24"/>
        </w:numPr>
      </w:pPr>
      <w:r>
        <w:rPr>
          <w:rFonts w:ascii="Calibri" w:hAnsi="Calibri"/>
          <w:b w:val="0"/>
          <w:i w:val="0"/>
          <w:color w:val="111111"/>
          <w:sz w:val="22"/>
        </w:rPr>
        <w:t>Negative intervention is subordinated to positive formation. The good must become capable of bearing the removal of what impedes it.</w:t>
      </w:r>
    </w:p>
    <w:p>
      <w:pPr>
        <w:keepLines/>
        <w:spacing w:after="80" w:line="300" w:lineRule="auto"/>
        <w:numPr>
          <w:ilvl w:val="0"/>
          <w:numId w:val="24"/>
        </w:numPr>
      </w:pPr>
      <w:r>
        <w:rPr>
          <w:rFonts w:ascii="Calibri" w:hAnsi="Calibri"/>
          <w:b w:val="0"/>
          <w:i w:val="0"/>
          <w:color w:val="111111"/>
          <w:sz w:val="22"/>
        </w:rPr>
        <w:t>Root and top must become "equal in strength." Viable formation requires proportion between inherited depth and outward growth.</w:t>
      </w:r>
    </w:p>
    <w:p>
      <w:pPr>
        <w:keepLines/>
        <w:spacing w:after="80" w:line="300" w:lineRule="auto"/>
        <w:numPr>
          <w:ilvl w:val="0"/>
          <w:numId w:val="24"/>
        </w:numPr>
      </w:pPr>
      <w:r>
        <w:rPr>
          <w:rFonts w:ascii="Calibri" w:hAnsi="Calibri"/>
          <w:b w:val="0"/>
          <w:i w:val="0"/>
          <w:color w:val="111111"/>
          <w:sz w:val="22"/>
        </w:rPr>
        <w:t>This principle supplies an ethics of education, therapy, reform, and civilizational change: do not dismantle a damaged support before the emerging form has acquired another way to live.</w:t>
      </w:r>
    </w:p>
    <w:p>
      <w:pPr>
        <w:pStyle w:val="OutlineLabel"/>
      </w:pPr>
      <w:r>
        <w:rPr>
          <w:rFonts w:ascii="Calibri" w:hAnsi="Calibri"/>
          <w:b/>
          <w:i w:val="0"/>
          <w:color w:val="3E6654"/>
          <w:sz w:val="19"/>
        </w:rPr>
        <w:t>CRITICAL QUALIFICATION</w:t>
      </w:r>
    </w:p>
    <w:p>
      <w:pPr>
        <w:keepLines/>
      </w:pPr>
      <w:r>
        <w:rPr>
          <w:rFonts w:ascii="Calibri" w:hAnsi="Calibri"/>
          <w:b w:val="0"/>
          <w:i w:val="0"/>
          <w:color w:val="111111"/>
          <w:sz w:val="22"/>
        </w:rPr>
        <w:t>Gradualism can excuse preventable harm. The text does not prescribe delay universally; it makes pace answerable to the survival and strength of the good. Immediate removal remains appropriate for branches already "ripened" for destruction.</w:t>
      </w:r>
    </w:p>
    <w:p>
      <w:pPr>
        <w:pStyle w:val="OutlineLabel"/>
      </w:pPr>
      <w:r>
        <w:rPr>
          <w:rFonts w:ascii="Calibri" w:hAnsi="Calibri"/>
          <w:b/>
          <w:i w:val="0"/>
          <w:color w:val="3E6654"/>
          <w:sz w:val="19"/>
        </w:rPr>
        <w:t>TRANSITION</w:t>
      </w:r>
    </w:p>
    <w:p>
      <w:pPr>
        <w:keepLines/>
      </w:pPr>
      <w:r>
        <w:rPr>
          <w:rFonts w:ascii="Calibri" w:hAnsi="Calibri"/>
          <w:b w:val="0"/>
          <w:i/>
          <w:color w:val="111111"/>
          <w:sz w:val="22"/>
        </w:rPr>
        <w:t>The result is neither purity nor return to a pristine past, but differentiated histories made capable of common fruit.</w:t>
      </w:r>
    </w:p>
    <w:p>
      <w:pPr>
        <w:pStyle w:val="Heading2"/>
      </w:pPr>
      <w:r>
        <w:t>14. "Like Unto One Body": Unity After Rupture</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5:68-76.</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Interpret the vineyard's restored unity without erasing difference.</w:t>
      </w:r>
    </w:p>
    <w:p>
      <w:pPr>
        <w:keepLines/>
      </w:pPr>
      <w:r>
        <w:rPr>
          <w:rFonts w:ascii="Calibri" w:hAnsi="Calibri"/>
          <w:b w:val="0"/>
          <w:i w:val="0"/>
          <w:color w:val="111111"/>
          <w:sz w:val="22"/>
        </w:rPr>
        <w:t>Key claims to develop:</w:t>
      </w:r>
    </w:p>
    <w:p>
      <w:pPr>
        <w:keepLines/>
        <w:spacing w:after="80" w:line="300" w:lineRule="auto"/>
        <w:numPr>
          <w:ilvl w:val="0"/>
          <w:numId w:val="25"/>
        </w:numPr>
      </w:pPr>
      <w:r>
        <w:rPr>
          <w:rFonts w:ascii="Calibri" w:hAnsi="Calibri"/>
          <w:b w:val="0"/>
          <w:i w:val="0"/>
          <w:color w:val="111111"/>
          <w:sz w:val="22"/>
        </w:rPr>
        <w:t>The trees become one because their fruits become equal, not because every branch acquires an identical history.</w:t>
      </w:r>
    </w:p>
    <w:p>
      <w:pPr>
        <w:keepLines/>
        <w:spacing w:after="80" w:line="300" w:lineRule="auto"/>
        <w:numPr>
          <w:ilvl w:val="0"/>
          <w:numId w:val="25"/>
        </w:numPr>
      </w:pPr>
      <w:r>
        <w:rPr>
          <w:rFonts w:ascii="Calibri" w:hAnsi="Calibri"/>
          <w:b w:val="0"/>
          <w:i w:val="0"/>
          <w:color w:val="111111"/>
          <w:sz w:val="22"/>
        </w:rPr>
        <w:t>Unity is functional, ethical, and covenantal: diverse branches participate in a common life-giving relation.</w:t>
      </w:r>
    </w:p>
    <w:p>
      <w:pPr>
        <w:keepLines/>
        <w:spacing w:after="80" w:line="300" w:lineRule="auto"/>
        <w:numPr>
          <w:ilvl w:val="0"/>
          <w:numId w:val="25"/>
        </w:numPr>
      </w:pPr>
      <w:r>
        <w:rPr>
          <w:rFonts w:ascii="Calibri" w:hAnsi="Calibri"/>
          <w:b w:val="0"/>
          <w:i w:val="0"/>
          <w:color w:val="111111"/>
          <w:sz w:val="22"/>
        </w:rPr>
        <w:t>Natural fruit returns through grafting, mixture, labor, and historical transformation. Restoration is therefore repetition-with-difference.</w:t>
      </w:r>
    </w:p>
    <w:p>
      <w:pPr>
        <w:keepLines/>
        <w:spacing w:after="80" w:line="300" w:lineRule="auto"/>
        <w:numPr>
          <w:ilvl w:val="0"/>
          <w:numId w:val="25"/>
        </w:numPr>
      </w:pPr>
      <w:r>
        <w:rPr>
          <w:rFonts w:ascii="Calibri" w:hAnsi="Calibri"/>
          <w:b w:val="0"/>
          <w:i w:val="0"/>
          <w:color w:val="111111"/>
          <w:sz w:val="22"/>
        </w:rPr>
        <w:t>The Lord's joy is shared with the servants. The end of formation is companionship and co-rejoicing, not merely the owner's possession of an object.</w:t>
      </w:r>
    </w:p>
    <w:p>
      <w:pPr>
        <w:keepLines/>
        <w:spacing w:after="80" w:line="300" w:lineRule="auto"/>
        <w:numPr>
          <w:ilvl w:val="0"/>
          <w:numId w:val="25"/>
        </w:numPr>
      </w:pPr>
      <w:r>
        <w:rPr>
          <w:rFonts w:ascii="Calibri" w:hAnsi="Calibri"/>
          <w:b w:val="0"/>
          <w:i w:val="0"/>
          <w:color w:val="111111"/>
          <w:sz w:val="22"/>
        </w:rPr>
        <w:t>Levinas's account of fecundity and discontinuous time can serve as a philosophical comparison: the future repairs history by proceeding through an other who continues relation without reproducing the same.</w:t>
      </w:r>
    </w:p>
    <w:p>
      <w:pPr>
        <w:pStyle w:val="OutlineLabel"/>
      </w:pPr>
      <w:r>
        <w:rPr>
          <w:rFonts w:ascii="Calibri" w:hAnsi="Calibri"/>
          <w:b/>
          <w:i w:val="0"/>
          <w:color w:val="3E6654"/>
          <w:sz w:val="19"/>
        </w:rPr>
        <w:t>APPLICATION TO CHILD-FORCE</w:t>
      </w:r>
    </w:p>
    <w:p>
      <w:pPr>
        <w:keepLines/>
      </w:pPr>
      <w:r>
        <w:rPr>
          <w:rFonts w:ascii="Calibri" w:hAnsi="Calibri"/>
          <w:b w:val="0"/>
          <w:i w:val="0"/>
          <w:color w:val="111111"/>
          <w:sz w:val="22"/>
        </w:rPr>
        <w:t>The child carries continuity precisely by becoming other than the parent and inherited world. A civilization survives not when children repeat it perfectly, but when it transmits conditions under which they can renew what deserves continuation.</w:t>
      </w:r>
    </w:p>
    <w:p>
      <w:pPr>
        <w:pStyle w:val="OutlineLabel"/>
      </w:pPr>
      <w:r>
        <w:rPr>
          <w:rFonts w:ascii="Calibri" w:hAnsi="Calibri"/>
          <w:b/>
          <w:i w:val="0"/>
          <w:color w:val="3E6654"/>
          <w:sz w:val="19"/>
        </w:rPr>
        <w:t>TRANSITION</w:t>
      </w:r>
    </w:p>
    <w:p>
      <w:pPr>
        <w:keepLines/>
      </w:pPr>
      <w:r>
        <w:rPr>
          <w:rFonts w:ascii="Calibri" w:hAnsi="Calibri"/>
          <w:b w:val="0"/>
          <w:i/>
          <w:color w:val="111111"/>
          <w:sz w:val="22"/>
        </w:rPr>
        <w:t>The long preservation of good fruit is real but not final; the allegory closes by placing formation under the limit of judgment.</w:t>
      </w:r>
    </w:p>
    <w:p>
      <w:pPr>
        <w:pStyle w:val="Heading2"/>
      </w:pPr>
      <w:r>
        <w:t>15. Fire, Finitude, and the End of Cultivation</w:t>
      </w:r>
    </w:p>
    <w:p>
      <w:pPr>
        <w:pStyle w:val="OutlineLabel"/>
      </w:pPr>
      <w:r>
        <w:rPr>
          <w:rFonts w:ascii="Calibri" w:hAnsi="Calibri"/>
          <w:b/>
          <w:i w:val="0"/>
          <w:color w:val="3E6654"/>
          <w:sz w:val="19"/>
        </w:rPr>
        <w:t>PRIMARY TEXT</w:t>
      </w:r>
    </w:p>
    <w:p>
      <w:pPr>
        <w:keepLines/>
      </w:pPr>
      <w:r>
        <w:rPr>
          <w:rFonts w:ascii="Calibri" w:hAnsi="Calibri"/>
          <w:b w:val="0"/>
          <w:i w:val="0"/>
          <w:color w:val="111111"/>
          <w:sz w:val="22"/>
        </w:rPr>
        <w:t>Jacob 5:75-77; Jacob 6:2-13.</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Prevent operative absence from becoming an endless postponement of judgment.</w:t>
      </w:r>
    </w:p>
    <w:p>
      <w:pPr>
        <w:keepLines/>
      </w:pPr>
      <w:r>
        <w:rPr>
          <w:rFonts w:ascii="Calibri" w:hAnsi="Calibri"/>
          <w:b w:val="0"/>
          <w:i w:val="0"/>
          <w:color w:val="111111"/>
          <w:sz w:val="22"/>
        </w:rPr>
        <w:t>Key claims to develop:</w:t>
      </w:r>
    </w:p>
    <w:p>
      <w:pPr>
        <w:keepLines/>
        <w:spacing w:after="80" w:line="300" w:lineRule="auto"/>
        <w:numPr>
          <w:ilvl w:val="0"/>
          <w:numId w:val="26"/>
        </w:numPr>
      </w:pPr>
      <w:r>
        <w:rPr>
          <w:rFonts w:ascii="Calibri" w:hAnsi="Calibri"/>
          <w:b w:val="0"/>
          <w:i w:val="0"/>
          <w:color w:val="111111"/>
          <w:sz w:val="22"/>
        </w:rPr>
        <w:t>Mercy repeatedly extends time, but time is not infinite within the allegory. The season arrives.</w:t>
      </w:r>
    </w:p>
    <w:p>
      <w:pPr>
        <w:keepLines/>
        <w:spacing w:after="80" w:line="300" w:lineRule="auto"/>
        <w:numPr>
          <w:ilvl w:val="0"/>
          <w:numId w:val="26"/>
        </w:numPr>
      </w:pPr>
      <w:r>
        <w:rPr>
          <w:rFonts w:ascii="Calibri" w:hAnsi="Calibri"/>
          <w:b w:val="0"/>
          <w:i w:val="0"/>
          <w:color w:val="111111"/>
          <w:sz w:val="22"/>
        </w:rPr>
        <w:t>The final separation of good and bad fruit gives moral consequence to formation. Possibility does not abolish actuality or responsibility.</w:t>
      </w:r>
    </w:p>
    <w:p>
      <w:pPr>
        <w:keepLines/>
        <w:spacing w:after="80" w:line="300" w:lineRule="auto"/>
        <w:numPr>
          <w:ilvl w:val="0"/>
          <w:numId w:val="26"/>
        </w:numPr>
      </w:pPr>
      <w:r>
        <w:rPr>
          <w:rFonts w:ascii="Calibri" w:hAnsi="Calibri"/>
          <w:b w:val="0"/>
          <w:i w:val="0"/>
          <w:color w:val="111111"/>
          <w:sz w:val="22"/>
        </w:rPr>
        <w:t>Jacob 6 converts sacred history into present address: "today" is the interval in which the hearer may respond.</w:t>
      </w:r>
    </w:p>
    <w:p>
      <w:pPr>
        <w:keepLines/>
        <w:spacing w:after="80" w:line="300" w:lineRule="auto"/>
        <w:numPr>
          <w:ilvl w:val="0"/>
          <w:numId w:val="26"/>
        </w:numPr>
      </w:pPr>
      <w:r>
        <w:rPr>
          <w:rFonts w:ascii="Calibri" w:hAnsi="Calibri"/>
          <w:b w:val="0"/>
          <w:i w:val="0"/>
          <w:color w:val="111111"/>
          <w:sz w:val="22"/>
        </w:rPr>
        <w:t>The burned vineyard marks the limit of the present world-order, while preserved fruit signifies what cultivation has rendered capable of being gathered.</w:t>
      </w:r>
    </w:p>
    <w:p>
      <w:pPr>
        <w:keepLines/>
        <w:spacing w:after="80" w:line="300" w:lineRule="auto"/>
        <w:numPr>
          <w:ilvl w:val="0"/>
          <w:numId w:val="26"/>
        </w:numPr>
      </w:pPr>
      <w:r>
        <w:rPr>
          <w:rFonts w:ascii="Calibri" w:hAnsi="Calibri"/>
          <w:b w:val="0"/>
          <w:i w:val="0"/>
          <w:color w:val="111111"/>
          <w:sz w:val="22"/>
        </w:rPr>
        <w:t>The eschatological future is an operative absence of maximal scope: it does not merely follow history but gives present action its urgency and measure.</w:t>
      </w:r>
    </w:p>
    <w:p>
      <w:pPr>
        <w:keepLines/>
      </w:pPr>
      <w:r>
        <w:rPr>
          <w:rFonts w:ascii="Calibri" w:hAnsi="Calibri"/>
          <w:b w:val="0"/>
          <w:i w:val="0"/>
          <w:color w:val="111111"/>
          <w:sz w:val="22"/>
        </w:rPr>
        <w:t>Transition to conclusion: The final question is what, throughout the long history of the vineyard, God has actually preserved.</w:t>
      </w:r>
    </w:p>
    <w:p>
      <w:pPr>
        <w:pStyle w:val="Heading2"/>
      </w:pPr>
      <w:r>
        <w:t>16. Conclusion: Preservation of the Capacity to Bear Fruit</w:t>
      </w:r>
    </w:p>
    <w:p>
      <w:pPr>
        <w:pStyle w:val="OutlineLabel"/>
      </w:pPr>
      <w:r>
        <w:rPr>
          <w:rFonts w:ascii="Calibri" w:hAnsi="Calibri"/>
          <w:b/>
          <w:i w:val="0"/>
          <w:color w:val="3E6654"/>
          <w:sz w:val="19"/>
        </w:rPr>
        <w:t>ARGUMENTATIVE PURPOSE</w:t>
      </w:r>
    </w:p>
    <w:p>
      <w:pPr>
        <w:keepLines/>
      </w:pPr>
      <w:r>
        <w:rPr>
          <w:rFonts w:ascii="Calibri" w:hAnsi="Calibri"/>
          <w:b w:val="0"/>
          <w:i w:val="0"/>
          <w:color w:val="111111"/>
          <w:sz w:val="22"/>
        </w:rPr>
        <w:t>Condense the chapter's theological and philosophical contribution.</w:t>
      </w:r>
    </w:p>
    <w:p>
      <w:pPr>
        <w:keepLines/>
      </w:pPr>
      <w:r>
        <w:rPr>
          <w:rFonts w:ascii="Calibri" w:hAnsi="Calibri"/>
          <w:b w:val="0"/>
          <w:i w:val="0"/>
          <w:color w:val="111111"/>
          <w:sz w:val="22"/>
        </w:rPr>
        <w:t>Concluding claims:</w:t>
      </w:r>
    </w:p>
    <w:p>
      <w:pPr>
        <w:keepLines/>
        <w:spacing w:after="80" w:line="300" w:lineRule="auto"/>
        <w:numPr>
          <w:ilvl w:val="0"/>
          <w:numId w:val="27"/>
        </w:numPr>
      </w:pPr>
      <w:r>
        <w:rPr>
          <w:rFonts w:ascii="Calibri" w:hAnsi="Calibri"/>
          <w:b w:val="0"/>
          <w:i w:val="0"/>
          <w:color w:val="111111"/>
          <w:sz w:val="22"/>
        </w:rPr>
        <w:t>God does not preserve Israel by freezing an original configuration. He preserves roots, relocates branches, admits grafts, permits mixture, teaches servants, delays destruction, and restores relation.</w:t>
      </w:r>
    </w:p>
    <w:p>
      <w:pPr>
        <w:keepLines/>
        <w:spacing w:after="80" w:line="300" w:lineRule="auto"/>
        <w:numPr>
          <w:ilvl w:val="0"/>
          <w:numId w:val="27"/>
        </w:numPr>
      </w:pPr>
      <w:r>
        <w:rPr>
          <w:rFonts w:ascii="Calibri" w:hAnsi="Calibri"/>
          <w:b w:val="0"/>
          <w:i w:val="0"/>
          <w:color w:val="111111"/>
          <w:sz w:val="22"/>
        </w:rPr>
        <w:t>Human force is neither sovereign self-creation nor passive determination. It is responsive efficacy within inherited and sustaining conditions.</w:t>
      </w:r>
    </w:p>
    <w:p>
      <w:pPr>
        <w:keepLines/>
        <w:spacing w:after="80" w:line="300" w:lineRule="auto"/>
        <w:numPr>
          <w:ilvl w:val="0"/>
          <w:numId w:val="27"/>
        </w:numPr>
      </w:pPr>
      <w:r>
        <w:rPr>
          <w:rFonts w:ascii="Calibri" w:hAnsi="Calibri"/>
          <w:b w:val="0"/>
          <w:i w:val="0"/>
          <w:color w:val="111111"/>
          <w:sz w:val="22"/>
        </w:rPr>
        <w:t>Child-force is the privileged site at which inheritance remains open to differentiation, but children possess present value and agency irreducible to future outcomes.</w:t>
      </w:r>
    </w:p>
    <w:p>
      <w:pPr>
        <w:keepLines/>
        <w:spacing w:after="80" w:line="300" w:lineRule="auto"/>
        <w:numPr>
          <w:ilvl w:val="0"/>
          <w:numId w:val="27"/>
        </w:numPr>
      </w:pPr>
      <w:r>
        <w:rPr>
          <w:rFonts w:ascii="Calibri" w:hAnsi="Calibri"/>
          <w:b w:val="0"/>
          <w:i w:val="0"/>
          <w:color w:val="111111"/>
          <w:sz w:val="22"/>
        </w:rPr>
        <w:t>Operative absence explains how unrealized fruit, future readers, scattered branches, omitted care, remembered loss, and approaching judgment become effective within the present.</w:t>
      </w:r>
    </w:p>
    <w:p>
      <w:pPr>
        <w:keepLines/>
        <w:spacing w:after="80" w:line="300" w:lineRule="auto"/>
        <w:numPr>
          <w:ilvl w:val="0"/>
          <w:numId w:val="27"/>
        </w:numPr>
      </w:pPr>
      <w:r>
        <w:rPr>
          <w:rFonts w:ascii="Calibri" w:hAnsi="Calibri"/>
          <w:b w:val="0"/>
          <w:i w:val="0"/>
          <w:color w:val="111111"/>
          <w:sz w:val="22"/>
        </w:rPr>
        <w:t>The deepest continuity of the vineyard is the preservation of its capacity to bear good fruit after rupture.</w:t>
      </w:r>
    </w:p>
    <w:p>
      <w:pPr>
        <w:pStyle w:val="OutlineLabel"/>
      </w:pPr>
      <w:r>
        <w:rPr>
          <w:rFonts w:ascii="Calibri" w:hAnsi="Calibri"/>
          <w:b/>
          <w:i w:val="0"/>
          <w:color w:val="3E6654"/>
          <w:sz w:val="19"/>
        </w:rPr>
        <w:t>PROPOSED FINAL SENTENCE</w:t>
      </w:r>
    </w:p>
    <w:p>
      <w:pPr>
        <w:keepLines/>
      </w:pPr>
      <w:r>
        <w:rPr>
          <w:rFonts w:ascii="Calibri" w:hAnsi="Calibri"/>
          <w:b w:val="0"/>
          <w:i/>
          <w:color w:val="111111"/>
          <w:sz w:val="22"/>
        </w:rPr>
        <w:t>Jacob 5 does not imagine salvation as the recovery of a world untouched by loss; it imagines a God who keeps the future from being exhausted by what the world has already become.</w:t>
      </w:r>
    </w:p>
    <w:p>
      <w:pPr>
        <w:pStyle w:val="Heading1"/>
      </w:pPr>
      <w:r>
        <w:t>Recommended Word Budget</w:t>
      </w:r>
    </w:p>
    <w:tbl>
      <w:tblPr>
        <w:tblStyle w:val="TableGrid"/>
        <w:tblW w:type="dxa" w:w="9360"/>
        <w:tblLayout w:type="fixed"/>
        <w:tblLook w:firstColumn="1" w:firstRow="1" w:lastColumn="0" w:lastRow="0" w:noHBand="0" w:noVBand="1" w:val="04A0"/>
        <w:tblInd w:w="120" w:type="dxa"/>
      </w:tblPr>
      <w:tblGrid>
        <w:gridCol w:w="6900"/>
        <w:gridCol w:w="2460"/>
      </w:tblGrid>
      <w:tr>
        <w:trPr>
          <w:tblHeader w:val="true"/>
        </w:trPr>
        <w:tc>
          <w:tcPr>
            <w:tcW w:type="dxa" w:w="6900"/>
            <w:shd w:fill="EDF3EF"/>
            <w:tcMar>
              <w:top w:w="80" w:type="dxa"/>
              <w:start w:w="120" w:type="dxa"/>
              <w:bottom w:w="80" w:type="dxa"/>
              <w:end w:w="120" w:type="dxa"/>
            </w:tcMar>
            <w:vAlign w:val="center"/>
          </w:tcPr>
          <w:p>
            <w:pPr>
              <w:spacing w:after="0" w:line="240" w:lineRule="auto"/>
            </w:pPr>
            <w:r>
              <w:rPr>
                <w:rFonts w:ascii="Calibri" w:hAnsi="Calibri"/>
                <w:b/>
                <w:i w:val="0"/>
                <w:color w:val="203A43"/>
                <w:sz w:val="19"/>
              </w:rPr>
              <w:t>Chapter component</w:t>
            </w:r>
          </w:p>
        </w:tc>
        <w:tc>
          <w:tcPr>
            <w:tcW w:type="dxa" w:w="2460"/>
            <w:shd w:fill="EDF3EF"/>
            <w:tcMar>
              <w:top w:w="80" w:type="dxa"/>
              <w:start w:w="120" w:type="dxa"/>
              <w:bottom w:w="80" w:type="dxa"/>
              <w:end w:w="120" w:type="dxa"/>
            </w:tcMar>
            <w:vAlign w:val="center"/>
          </w:tcPr>
          <w:p>
            <w:pPr>
              <w:spacing w:after="0" w:line="240" w:lineRule="auto"/>
            </w:pPr>
            <w:r>
              <w:rPr>
                <w:rFonts w:ascii="Calibri" w:hAnsi="Calibri"/>
                <w:b/>
                <w:i w:val="0"/>
                <w:color w:val="203A43"/>
                <w:sz w:val="19"/>
              </w:rPr>
              <w:t>Word budget</w:t>
            </w:r>
          </w:p>
        </w:tc>
      </w:tr>
      <w:tr>
        <w:tc>
          <w:tcPr>
            <w:tcW w:type="dxa" w:w="6900"/>
            <w:tcMar>
              <w:top w:w="80" w:type="dxa"/>
              <w:start w:w="120" w:type="dxa"/>
              <w:bottom w:w="80" w:type="dxa"/>
              <w:end w:w="120" w:type="dxa"/>
            </w:tcMar>
            <w:vAlign w:val="center"/>
          </w:tcPr>
          <w:p>
            <w:pPr>
              <w:spacing w:after="0" w:line="240" w:lineRule="auto"/>
            </w:pPr>
            <w:r>
              <w:rPr>
                <w:rFonts w:ascii="Calibri" w:hAnsi="Calibri"/>
                <w:b w:val="0"/>
                <w:i w:val="0"/>
                <w:color w:val="111111"/>
                <w:sz w:val="19"/>
              </w:rPr>
              <w:t>Opening and method</w:t>
            </w:r>
          </w:p>
        </w:tc>
        <w:tc>
          <w:tcPr>
            <w:tcW w:type="dxa" w:w="2460"/>
            <w:tcMar>
              <w:top w:w="80" w:type="dxa"/>
              <w:start w:w="120" w:type="dxa"/>
              <w:bottom w:w="80" w:type="dxa"/>
              <w:end w:w="120" w:type="dxa"/>
            </w:tcMar>
            <w:vAlign w:val="center"/>
          </w:tcPr>
          <w:p>
            <w:pPr>
              <w:spacing w:after="0" w:line="240" w:lineRule="auto"/>
              <w:jc w:val="center"/>
            </w:pPr>
            <w:r>
              <w:rPr>
                <w:rFonts w:ascii="Calibri" w:hAnsi="Calibri"/>
                <w:b w:val="0"/>
                <w:i w:val="0"/>
                <w:color w:val="111111"/>
                <w:sz w:val="19"/>
              </w:rPr>
              <w:t>900-1,100</w:t>
            </w:r>
          </w:p>
        </w:tc>
      </w:tr>
      <w:tr>
        <w:tc>
          <w:tcPr>
            <w:tcW w:type="dxa" w:w="6900"/>
            <w:tcMar>
              <w:top w:w="80" w:type="dxa"/>
              <w:start w:w="120" w:type="dxa"/>
              <w:bottom w:w="80" w:type="dxa"/>
              <w:end w:w="120" w:type="dxa"/>
            </w:tcMar>
            <w:vAlign w:val="center"/>
          </w:tcPr>
          <w:p>
            <w:pPr>
              <w:spacing w:after="0" w:line="240" w:lineRule="auto"/>
            </w:pPr>
            <w:r>
              <w:rPr>
                <w:rFonts w:ascii="Calibri" w:hAnsi="Calibri"/>
                <w:b w:val="0"/>
                <w:i w:val="0"/>
                <w:color w:val="111111"/>
                <w:sz w:val="19"/>
              </w:rPr>
              <w:t>Scriptural grammar and first crisis</w:t>
            </w:r>
          </w:p>
        </w:tc>
        <w:tc>
          <w:tcPr>
            <w:tcW w:type="dxa" w:w="2460"/>
            <w:tcMar>
              <w:top w:w="80" w:type="dxa"/>
              <w:start w:w="120" w:type="dxa"/>
              <w:bottom w:w="80" w:type="dxa"/>
              <w:end w:w="120" w:type="dxa"/>
            </w:tcMar>
            <w:vAlign w:val="center"/>
          </w:tcPr>
          <w:p>
            <w:pPr>
              <w:spacing w:after="0" w:line="240" w:lineRule="auto"/>
              <w:jc w:val="center"/>
            </w:pPr>
            <w:r>
              <w:rPr>
                <w:rFonts w:ascii="Calibri" w:hAnsi="Calibri"/>
                <w:b w:val="0"/>
                <w:i w:val="0"/>
                <w:color w:val="111111"/>
                <w:sz w:val="19"/>
              </w:rPr>
              <w:t>1,500-1,800</w:t>
            </w:r>
          </w:p>
        </w:tc>
      </w:tr>
      <w:tr>
        <w:tc>
          <w:tcPr>
            <w:tcW w:type="dxa" w:w="6900"/>
            <w:tcMar>
              <w:top w:w="80" w:type="dxa"/>
              <w:start w:w="120" w:type="dxa"/>
              <w:bottom w:w="80" w:type="dxa"/>
              <w:end w:w="120" w:type="dxa"/>
            </w:tcMar>
            <w:vAlign w:val="center"/>
          </w:tcPr>
          <w:p>
            <w:pPr>
              <w:spacing w:after="0" w:line="240" w:lineRule="auto"/>
            </w:pPr>
            <w:r>
              <w:rPr>
                <w:rFonts w:ascii="Calibri" w:hAnsi="Calibri"/>
                <w:b w:val="0"/>
                <w:i w:val="0"/>
                <w:color w:val="111111"/>
                <w:sz w:val="19"/>
              </w:rPr>
              <w:t>Human force and servant formation</w:t>
            </w:r>
          </w:p>
        </w:tc>
        <w:tc>
          <w:tcPr>
            <w:tcW w:type="dxa" w:w="2460"/>
            <w:tcMar>
              <w:top w:w="80" w:type="dxa"/>
              <w:start w:w="120" w:type="dxa"/>
              <w:bottom w:w="80" w:type="dxa"/>
              <w:end w:w="120" w:type="dxa"/>
            </w:tcMar>
            <w:vAlign w:val="center"/>
          </w:tcPr>
          <w:p>
            <w:pPr>
              <w:spacing w:after="0" w:line="240" w:lineRule="auto"/>
              <w:jc w:val="center"/>
            </w:pPr>
            <w:r>
              <w:rPr>
                <w:rFonts w:ascii="Calibri" w:hAnsi="Calibri"/>
                <w:b w:val="0"/>
                <w:i w:val="0"/>
                <w:color w:val="111111"/>
                <w:sz w:val="19"/>
              </w:rPr>
              <w:t>1,500-1,800</w:t>
            </w:r>
          </w:p>
        </w:tc>
      </w:tr>
      <w:tr>
        <w:tc>
          <w:tcPr>
            <w:tcW w:type="dxa" w:w="6900"/>
            <w:tcMar>
              <w:top w:w="80" w:type="dxa"/>
              <w:start w:w="120" w:type="dxa"/>
              <w:bottom w:w="80" w:type="dxa"/>
              <w:end w:w="120" w:type="dxa"/>
            </w:tcMar>
            <w:vAlign w:val="center"/>
          </w:tcPr>
          <w:p>
            <w:pPr>
              <w:spacing w:after="0" w:line="240" w:lineRule="auto"/>
            </w:pPr>
            <w:r>
              <w:rPr>
                <w:rFonts w:ascii="Calibri" w:hAnsi="Calibri"/>
                <w:b w:val="0"/>
                <w:i w:val="0"/>
                <w:color w:val="111111"/>
                <w:sz w:val="19"/>
              </w:rPr>
              <w:t>Loftiness, grief, and child-force</w:t>
            </w:r>
          </w:p>
        </w:tc>
        <w:tc>
          <w:tcPr>
            <w:tcW w:type="dxa" w:w="2460"/>
            <w:tcMar>
              <w:top w:w="80" w:type="dxa"/>
              <w:start w:w="120" w:type="dxa"/>
              <w:bottom w:w="80" w:type="dxa"/>
              <w:end w:w="120" w:type="dxa"/>
            </w:tcMar>
            <w:vAlign w:val="center"/>
          </w:tcPr>
          <w:p>
            <w:pPr>
              <w:spacing w:after="0" w:line="240" w:lineRule="auto"/>
              <w:jc w:val="center"/>
            </w:pPr>
            <w:r>
              <w:rPr>
                <w:rFonts w:ascii="Calibri" w:hAnsi="Calibri"/>
                <w:b w:val="0"/>
                <w:i w:val="0"/>
                <w:color w:val="111111"/>
                <w:sz w:val="19"/>
              </w:rPr>
              <w:t>2,000-2,400</w:t>
            </w:r>
          </w:p>
        </w:tc>
      </w:tr>
      <w:tr>
        <w:tc>
          <w:tcPr>
            <w:tcW w:type="dxa" w:w="6900"/>
            <w:tcMar>
              <w:top w:w="80" w:type="dxa"/>
              <w:start w:w="120" w:type="dxa"/>
              <w:bottom w:w="80" w:type="dxa"/>
              <w:end w:w="120" w:type="dxa"/>
            </w:tcMar>
            <w:vAlign w:val="center"/>
          </w:tcPr>
          <w:p>
            <w:pPr>
              <w:spacing w:after="0" w:line="240" w:lineRule="auto"/>
            </w:pPr>
            <w:r>
              <w:rPr>
                <w:rFonts w:ascii="Calibri" w:hAnsi="Calibri"/>
                <w:b w:val="0"/>
                <w:i w:val="0"/>
                <w:color w:val="111111"/>
                <w:sz w:val="19"/>
              </w:rPr>
              <w:t>Operative absence taxonomy</w:t>
            </w:r>
          </w:p>
        </w:tc>
        <w:tc>
          <w:tcPr>
            <w:tcW w:type="dxa" w:w="2460"/>
            <w:tcMar>
              <w:top w:w="80" w:type="dxa"/>
              <w:start w:w="120" w:type="dxa"/>
              <w:bottom w:w="80" w:type="dxa"/>
              <w:end w:w="120" w:type="dxa"/>
            </w:tcMar>
            <w:vAlign w:val="center"/>
          </w:tcPr>
          <w:p>
            <w:pPr>
              <w:spacing w:after="0" w:line="240" w:lineRule="auto"/>
              <w:jc w:val="center"/>
            </w:pPr>
            <w:r>
              <w:rPr>
                <w:rFonts w:ascii="Calibri" w:hAnsi="Calibri"/>
                <w:b w:val="0"/>
                <w:i w:val="0"/>
                <w:color w:val="111111"/>
                <w:sz w:val="19"/>
              </w:rPr>
              <w:t>1,800-2,200</w:t>
            </w:r>
          </w:p>
        </w:tc>
      </w:tr>
      <w:tr>
        <w:tc>
          <w:tcPr>
            <w:tcW w:type="dxa" w:w="6900"/>
            <w:tcMar>
              <w:top w:w="80" w:type="dxa"/>
              <w:start w:w="120" w:type="dxa"/>
              <w:bottom w:w="80" w:type="dxa"/>
              <w:end w:w="120" w:type="dxa"/>
            </w:tcMar>
            <w:vAlign w:val="center"/>
          </w:tcPr>
          <w:p>
            <w:pPr>
              <w:spacing w:after="0" w:line="240" w:lineRule="auto"/>
            </w:pPr>
            <w:r>
              <w:rPr>
                <w:rFonts w:ascii="Calibri" w:hAnsi="Calibri"/>
                <w:b w:val="0"/>
                <w:i w:val="0"/>
                <w:color w:val="111111"/>
                <w:sz w:val="19"/>
              </w:rPr>
              <w:t>Regrafting, unity, fire, and conclusion</w:t>
            </w:r>
          </w:p>
        </w:tc>
        <w:tc>
          <w:tcPr>
            <w:tcW w:type="dxa" w:w="2460"/>
            <w:tcMar>
              <w:top w:w="80" w:type="dxa"/>
              <w:start w:w="120" w:type="dxa"/>
              <w:bottom w:w="80" w:type="dxa"/>
              <w:end w:w="120" w:type="dxa"/>
            </w:tcMar>
            <w:vAlign w:val="center"/>
          </w:tcPr>
          <w:p>
            <w:pPr>
              <w:spacing w:after="0" w:line="240" w:lineRule="auto"/>
              <w:jc w:val="center"/>
            </w:pPr>
            <w:r>
              <w:rPr>
                <w:rFonts w:ascii="Calibri" w:hAnsi="Calibri"/>
                <w:b w:val="0"/>
                <w:i w:val="0"/>
                <w:color w:val="111111"/>
                <w:sz w:val="19"/>
              </w:rPr>
              <w:t>1,500-1,900</w:t>
            </w:r>
          </w:p>
        </w:tc>
      </w:tr>
      <w:tr>
        <w:tc>
          <w:tcPr>
            <w:tcW w:type="dxa" w:w="6900"/>
            <w:tcMar>
              <w:top w:w="80" w:type="dxa"/>
              <w:start w:w="120" w:type="dxa"/>
              <w:bottom w:w="80" w:type="dxa"/>
              <w:end w:w="120" w:type="dxa"/>
            </w:tcMar>
            <w:vAlign w:val="center"/>
          </w:tcPr>
          <w:p>
            <w:pPr>
              <w:spacing w:after="0" w:line="240" w:lineRule="auto"/>
            </w:pPr>
            <w:r>
              <w:rPr>
                <w:rFonts w:ascii="Calibri" w:hAnsi="Calibri"/>
                <w:b w:val="0"/>
                <w:i w:val="0"/>
                <w:color w:val="111111"/>
                <w:sz w:val="19"/>
              </w:rPr>
              <w:t>Projected total</w:t>
            </w:r>
          </w:p>
        </w:tc>
        <w:tc>
          <w:tcPr>
            <w:tcW w:type="dxa" w:w="2460"/>
            <w:tcMar>
              <w:top w:w="80" w:type="dxa"/>
              <w:start w:w="120" w:type="dxa"/>
              <w:bottom w:w="80" w:type="dxa"/>
              <w:end w:w="120" w:type="dxa"/>
            </w:tcMar>
            <w:vAlign w:val="center"/>
          </w:tcPr>
          <w:p>
            <w:pPr>
              <w:spacing w:after="0" w:line="240" w:lineRule="auto"/>
              <w:jc w:val="center"/>
            </w:pPr>
            <w:r>
              <w:rPr>
                <w:rFonts w:ascii="Calibri" w:hAnsi="Calibri"/>
                <w:b w:val="0"/>
                <w:i w:val="0"/>
                <w:color w:val="111111"/>
                <w:sz w:val="19"/>
              </w:rPr>
              <w:t>9,200-11,200</w:t>
            </w:r>
          </w:p>
        </w:tc>
      </w:tr>
    </w:tbl>
    <w:p>
      <w:pPr>
        <w:spacing w:after="0"/>
      </w:pPr>
    </w:p>
    <w:p>
      <w:pPr>
        <w:pStyle w:val="Heading1"/>
      </w:pPr>
      <w:r>
        <w:t>Principal objections to answer in the draft</w:t>
      </w:r>
    </w:p>
    <w:p>
      <w:pPr>
        <w:keepLines/>
        <w:spacing w:after="80" w:line="300" w:lineRule="auto"/>
        <w:numPr>
          <w:ilvl w:val="0"/>
          <w:numId w:val="28"/>
        </w:numPr>
      </w:pPr>
      <w:r>
        <w:rPr>
          <w:rFonts w:ascii="Calibri" w:hAnsi="Calibri"/>
          <w:b w:val="0"/>
          <w:i w:val="0"/>
          <w:color w:val="111111"/>
          <w:sz w:val="22"/>
        </w:rPr>
        <w:t>Overextension of the allegory: The chapter must acknowledge that child-force is a constructive reading, not a claim that Zenos encoded a modern philosophy of childhood.</w:t>
      </w:r>
    </w:p>
    <w:p>
      <w:pPr>
        <w:keepLines/>
        <w:spacing w:after="80" w:line="300" w:lineRule="auto"/>
        <w:numPr>
          <w:ilvl w:val="0"/>
          <w:numId w:val="28"/>
        </w:numPr>
      </w:pPr>
      <w:r>
        <w:rPr>
          <w:rFonts w:ascii="Calibri" w:hAnsi="Calibri"/>
          <w:b w:val="0"/>
          <w:i w:val="0"/>
          <w:color w:val="111111"/>
          <w:sz w:val="22"/>
        </w:rPr>
        <w:t>Instrumentalization of the child: The chapter must retain the child's present being and intrinsic value while analyzing generational futurity.</w:t>
      </w:r>
    </w:p>
    <w:p>
      <w:pPr>
        <w:keepLines/>
        <w:spacing w:after="80" w:line="300" w:lineRule="auto"/>
        <w:numPr>
          <w:ilvl w:val="0"/>
          <w:numId w:val="28"/>
        </w:numPr>
      </w:pPr>
      <w:r>
        <w:rPr>
          <w:rFonts w:ascii="Calibri" w:hAnsi="Calibri"/>
          <w:b w:val="0"/>
          <w:i w:val="0"/>
          <w:color w:val="111111"/>
          <w:sz w:val="22"/>
        </w:rPr>
        <w:t>Biological naturalization: Covenant, relation, and fruit must govern the meaning of natural/wild language.</w:t>
      </w:r>
    </w:p>
    <w:p>
      <w:pPr>
        <w:keepLines/>
        <w:spacing w:after="80" w:line="300" w:lineRule="auto"/>
        <w:numPr>
          <w:ilvl w:val="0"/>
          <w:numId w:val="28"/>
        </w:numPr>
      </w:pPr>
      <w:r>
        <w:rPr>
          <w:rFonts w:ascii="Calibri" w:hAnsi="Calibri"/>
          <w:b w:val="0"/>
          <w:i w:val="0"/>
          <w:color w:val="111111"/>
          <w:sz w:val="22"/>
        </w:rPr>
        <w:t>Reification of absence: Operative absence should be defined through identifiable mechanisms - expectation, norm, memory, omission, counterfactual dependence, and altered action - rather than treated as a supernatural substance.</w:t>
      </w:r>
    </w:p>
    <w:p>
      <w:pPr>
        <w:keepLines/>
        <w:spacing w:after="80" w:line="300" w:lineRule="auto"/>
        <w:numPr>
          <w:ilvl w:val="0"/>
          <w:numId w:val="28"/>
        </w:numPr>
      </w:pPr>
      <w:r>
        <w:rPr>
          <w:rFonts w:ascii="Calibri" w:hAnsi="Calibri"/>
          <w:b w:val="0"/>
          <w:i w:val="0"/>
          <w:color w:val="111111"/>
          <w:sz w:val="22"/>
        </w:rPr>
        <w:t>Moral simplification: Good and bitter fruit are the allegory's evaluative terms, but the philosophical analysis should not flatten complex historical persons into pure categories.</w:t>
      </w:r>
    </w:p>
    <w:p>
      <w:pPr>
        <w:keepLines/>
        <w:spacing w:after="80" w:line="300" w:lineRule="auto"/>
        <w:numPr>
          <w:ilvl w:val="0"/>
          <w:numId w:val="28"/>
        </w:numPr>
      </w:pPr>
      <w:r>
        <w:rPr>
          <w:rFonts w:ascii="Calibri" w:hAnsi="Calibri"/>
          <w:b w:val="0"/>
          <w:i w:val="0"/>
          <w:color w:val="111111"/>
          <w:sz w:val="22"/>
        </w:rPr>
        <w:t>Quietism through gradualism: The pace of pruning is governed by protection of emerging life, not by institutional comfort or indefinite postponement.</w:t>
      </w:r>
    </w:p>
    <w:p>
      <w:r>
        <w:br w:type="page"/>
      </w:r>
    </w:p>
    <w:p>
      <w:pPr>
        <w:pStyle w:val="Heading1"/>
      </w:pPr>
      <w:r>
        <w:t>Selected research basis</w:t>
      </w:r>
    </w:p>
    <w:p>
      <w:pPr>
        <w:keepLines/>
        <w:spacing w:after="80" w:line="300" w:lineRule="auto"/>
        <w:numPr>
          <w:ilvl w:val="0"/>
          <w:numId w:val="29"/>
        </w:numPr>
      </w:pPr>
      <w:r>
        <w:rPr>
          <w:rFonts w:ascii="Calibri" w:hAnsi="Calibri"/>
          <w:b w:val="0"/>
          <w:i w:val="0"/>
          <w:color w:val="111111"/>
          <w:sz w:val="22"/>
        </w:rPr>
        <w:t xml:space="preserve">The Church of Jesus Christ of Latter-day Saints. "Jacob 4," "Jacob 5," and "Jacob 6." Primary scriptural text. </w:t>
      </w:r>
      <w:hyperlink r:id="rId11">
        <w:r>
          <w:rPr>
            <w:rFonts w:ascii="Calibri" w:hAnsi="Calibri"/>
            <w:sz w:val="20"/>
            <w:color w:val="3E6654"/>
            <w:u w:val="single"/>
          </w:rPr>
          <w:t>churchofjesuschrist.org</w:t>
        </w:r>
      </w:hyperlink>
      <w:r>
        <w:rPr>
          <w:rFonts w:ascii="Calibri" w:hAnsi="Calibri"/>
          <w:b w:val="0"/>
          <w:i w:val="0"/>
          <w:color w:val="111111"/>
          <w:sz w:val="22"/>
        </w:rPr>
        <w:t xml:space="preserve"> ; </w:t>
      </w:r>
      <w:hyperlink r:id="rId12">
        <w:r>
          <w:rPr>
            <w:rFonts w:ascii="Calibri" w:hAnsi="Calibri"/>
            <w:sz w:val="20"/>
            <w:color w:val="3E6654"/>
            <w:u w:val="single"/>
          </w:rPr>
          <w:t>churchofjesuschrist.org</w:t>
        </w:r>
      </w:hyperlink>
      <w:r>
        <w:rPr>
          <w:rFonts w:ascii="Calibri" w:hAnsi="Calibri"/>
          <w:b w:val="0"/>
          <w:i w:val="0"/>
          <w:color w:val="111111"/>
          <w:sz w:val="22"/>
        </w:rPr>
        <w:t xml:space="preserve"> ; </w:t>
      </w:r>
      <w:hyperlink r:id="rId13">
        <w:r>
          <w:rPr>
            <w:rFonts w:ascii="Calibri" w:hAnsi="Calibri"/>
            <w:sz w:val="20"/>
            <w:color w:val="3E6654"/>
            <w:u w:val="single"/>
          </w:rPr>
          <w:t>churchofjesuschrist.org</w:t>
        </w:r>
      </w:hyperlink>
    </w:p>
    <w:p>
      <w:pPr>
        <w:keepLines/>
        <w:spacing w:after="80" w:line="300" w:lineRule="auto"/>
        <w:numPr>
          <w:ilvl w:val="0"/>
          <w:numId w:val="29"/>
        </w:numPr>
      </w:pPr>
      <w:r>
        <w:rPr>
          <w:rFonts w:ascii="Calibri" w:hAnsi="Calibri"/>
          <w:b w:val="0"/>
          <w:i w:val="0"/>
          <w:color w:val="111111"/>
          <w:sz w:val="22"/>
        </w:rPr>
        <w:t xml:space="preserve">Belnap, Daniel L. "'Ye Shall Have Joy with Me': The Olive Tree, the Lord, and His Servants." Religious Educator 7, no. 1 (2006): 35-51. </w:t>
      </w:r>
      <w:hyperlink r:id="rId14">
        <w:r>
          <w:rPr>
            <w:rFonts w:ascii="Calibri" w:hAnsi="Calibri"/>
            <w:sz w:val="20"/>
            <w:color w:val="3E6654"/>
            <w:u w:val="single"/>
          </w:rPr>
          <w:t>rsc.byu.edu</w:t>
        </w:r>
      </w:hyperlink>
    </w:p>
    <w:p>
      <w:pPr>
        <w:keepLines/>
        <w:spacing w:after="80" w:line="300" w:lineRule="auto"/>
        <w:numPr>
          <w:ilvl w:val="0"/>
          <w:numId w:val="29"/>
        </w:numPr>
      </w:pPr>
      <w:r>
        <w:rPr>
          <w:rFonts w:ascii="Calibri" w:hAnsi="Calibri"/>
          <w:b w:val="0"/>
          <w:i w:val="0"/>
          <w:color w:val="111111"/>
          <w:sz w:val="22"/>
        </w:rPr>
        <w:t xml:space="preserve">Hoskisson, Paul Y. "The Allegory of the Olive Tree in Jacob." In The Allegory of the Olive Tree, edited by Stephen D. Ricks and John W. Welch, 70-103. FARMS/Deseret Book, 1994. </w:t>
      </w:r>
      <w:hyperlink r:id="rId15">
        <w:r>
          <w:rPr>
            <w:rFonts w:ascii="Calibri" w:hAnsi="Calibri"/>
            <w:sz w:val="20"/>
            <w:color w:val="3E6654"/>
            <w:u w:val="single"/>
          </w:rPr>
          <w:t>archive.bookofmormoncentral.org</w:t>
        </w:r>
      </w:hyperlink>
    </w:p>
    <w:p>
      <w:pPr>
        <w:keepLines/>
        <w:spacing w:after="80" w:line="300" w:lineRule="auto"/>
        <w:numPr>
          <w:ilvl w:val="0"/>
          <w:numId w:val="29"/>
        </w:numPr>
      </w:pPr>
      <w:r>
        <w:rPr>
          <w:rFonts w:ascii="Calibri" w:hAnsi="Calibri"/>
          <w:b w:val="0"/>
          <w:i w:val="0"/>
          <w:color w:val="111111"/>
          <w:sz w:val="22"/>
        </w:rPr>
        <w:t xml:space="preserve">Ricks, Stephen D., and John W. Welch, eds. The Allegory of the Olive Tree: The Olive, the Bible, and Jacob 5. FARMS/Deseret Book, 1994. </w:t>
      </w:r>
      <w:hyperlink r:id="rId16">
        <w:r>
          <w:rPr>
            <w:rFonts w:ascii="Calibri" w:hAnsi="Calibri"/>
            <w:sz w:val="20"/>
            <w:color w:val="3E6654"/>
            <w:u w:val="single"/>
          </w:rPr>
          <w:t>scripturecentral.org</w:t>
        </w:r>
      </w:hyperlink>
    </w:p>
    <w:p>
      <w:pPr>
        <w:keepLines/>
        <w:spacing w:after="80" w:line="300" w:lineRule="auto"/>
        <w:numPr>
          <w:ilvl w:val="0"/>
          <w:numId w:val="29"/>
        </w:numPr>
      </w:pPr>
      <w:r>
        <w:rPr>
          <w:rFonts w:ascii="Calibri" w:hAnsi="Calibri"/>
          <w:b w:val="0"/>
          <w:i w:val="0"/>
          <w:color w:val="111111"/>
          <w:sz w:val="22"/>
        </w:rPr>
        <w:t xml:space="preserve">"Chapter 16: Jacob 5-7." Book of Mormon Student Manual. The Church of Jesus Christ of Latter-day Saints. </w:t>
      </w:r>
      <w:hyperlink r:id="rId17">
        <w:r>
          <w:rPr>
            <w:rFonts w:ascii="Calibri" w:hAnsi="Calibri"/>
            <w:sz w:val="20"/>
            <w:color w:val="3E6654"/>
            <w:u w:val="single"/>
          </w:rPr>
          <w:t>churchofjesuschrist.org</w:t>
        </w:r>
      </w:hyperlink>
    </w:p>
    <w:p>
      <w:pPr>
        <w:keepLines/>
        <w:spacing w:after="80" w:line="300" w:lineRule="auto"/>
        <w:numPr>
          <w:ilvl w:val="0"/>
          <w:numId w:val="29"/>
        </w:numPr>
      </w:pPr>
      <w:r>
        <w:rPr>
          <w:rFonts w:ascii="Calibri" w:hAnsi="Calibri"/>
          <w:b w:val="0"/>
          <w:i w:val="0"/>
          <w:color w:val="111111"/>
          <w:sz w:val="22"/>
        </w:rPr>
        <w:t xml:space="preserve">Isaiah 5:1-7 and Romans 11:17-24, New Revised Standard Version Updated Edition. </w:t>
      </w:r>
      <w:hyperlink r:id="rId18">
        <w:r>
          <w:rPr>
            <w:rFonts w:ascii="Calibri" w:hAnsi="Calibri"/>
            <w:sz w:val="20"/>
            <w:color w:val="3E6654"/>
            <w:u w:val="single"/>
          </w:rPr>
          <w:t>biblegateway.com</w:t>
        </w:r>
      </w:hyperlink>
      <w:r>
        <w:rPr>
          <w:rFonts w:ascii="Calibri" w:hAnsi="Calibri"/>
          <w:b w:val="0"/>
          <w:i w:val="0"/>
          <w:color w:val="111111"/>
          <w:sz w:val="22"/>
        </w:rPr>
        <w:t xml:space="preserve"> ; </w:t>
      </w:r>
      <w:hyperlink r:id="rId19">
        <w:r>
          <w:rPr>
            <w:rFonts w:ascii="Calibri" w:hAnsi="Calibri"/>
            <w:sz w:val="20"/>
            <w:color w:val="3E6654"/>
            <w:u w:val="single"/>
          </w:rPr>
          <w:t>biblegateway.com</w:t>
        </w:r>
      </w:hyperlink>
    </w:p>
    <w:p>
      <w:pPr>
        <w:keepLines/>
        <w:spacing w:after="80" w:line="300" w:lineRule="auto"/>
        <w:numPr>
          <w:ilvl w:val="0"/>
          <w:numId w:val="29"/>
        </w:numPr>
      </w:pPr>
      <w:r>
        <w:rPr>
          <w:rFonts w:ascii="Calibri" w:hAnsi="Calibri"/>
          <w:b w:val="0"/>
          <w:i w:val="0"/>
          <w:color w:val="111111"/>
          <w:sz w:val="22"/>
        </w:rPr>
        <w:t xml:space="preserve">Kloeg, Julian, and Joachim Weijers. "In-Between Child and World: Educational Responsibility with and against Arendt." Educational Theory (2024). </w:t>
      </w:r>
      <w:hyperlink r:id="rId20">
        <w:r>
          <w:rPr>
            <w:rFonts w:ascii="Calibri" w:hAnsi="Calibri"/>
            <w:sz w:val="20"/>
            <w:color w:val="3E6654"/>
            <w:u w:val="single"/>
          </w:rPr>
          <w:t>doi.org</w:t>
        </w:r>
      </w:hyperlink>
    </w:p>
    <w:p>
      <w:pPr>
        <w:keepLines/>
        <w:spacing w:after="80" w:line="300" w:lineRule="auto"/>
        <w:numPr>
          <w:ilvl w:val="0"/>
          <w:numId w:val="29"/>
        </w:numPr>
      </w:pPr>
      <w:r>
        <w:rPr>
          <w:rFonts w:ascii="Calibri" w:hAnsi="Calibri"/>
          <w:b w:val="0"/>
          <w:i w:val="0"/>
          <w:color w:val="111111"/>
          <w:sz w:val="22"/>
        </w:rPr>
        <w:t xml:space="preserve">Qvortrup, Jens. "Are Children Human Beings or Human Becomings? A Critical Assessment of Outcome Thinking." Rivista Internazionale di Scienze Sociali 117, no. 3 (2009): 631-654. </w:t>
      </w:r>
      <w:hyperlink r:id="rId21">
        <w:r>
          <w:rPr>
            <w:rFonts w:ascii="Calibri" w:hAnsi="Calibri"/>
            <w:sz w:val="20"/>
            <w:color w:val="3E6654"/>
            <w:u w:val="single"/>
          </w:rPr>
          <w:t>ideas.repec.org</w:t>
        </w:r>
      </w:hyperlink>
    </w:p>
    <w:p>
      <w:pPr>
        <w:keepLines/>
        <w:spacing w:after="80" w:line="300" w:lineRule="auto"/>
        <w:numPr>
          <w:ilvl w:val="0"/>
          <w:numId w:val="29"/>
        </w:numPr>
      </w:pPr>
      <w:r>
        <w:rPr>
          <w:rFonts w:ascii="Calibri" w:hAnsi="Calibri"/>
          <w:b w:val="0"/>
          <w:i w:val="0"/>
          <w:color w:val="111111"/>
          <w:sz w:val="22"/>
        </w:rPr>
        <w:t xml:space="preserve">Sorbring, Emma, et al. "Children's Agency in the Family, in School and in Society." Social Sciences 8, no. 9 (2019). </w:t>
      </w:r>
      <w:hyperlink r:id="rId22">
        <w:r>
          <w:rPr>
            <w:rFonts w:ascii="Calibri" w:hAnsi="Calibri"/>
            <w:sz w:val="20"/>
            <w:color w:val="3E6654"/>
            <w:u w:val="single"/>
          </w:rPr>
          <w:t>pmc.ncbi.nlm.nih.gov</w:t>
        </w:r>
      </w:hyperlink>
    </w:p>
    <w:p>
      <w:pPr>
        <w:keepLines/>
        <w:spacing w:after="80" w:line="300" w:lineRule="auto"/>
        <w:numPr>
          <w:ilvl w:val="0"/>
          <w:numId w:val="29"/>
        </w:numPr>
      </w:pPr>
      <w:r>
        <w:rPr>
          <w:rFonts w:ascii="Calibri" w:hAnsi="Calibri"/>
          <w:b w:val="0"/>
          <w:i w:val="0"/>
          <w:color w:val="111111"/>
          <w:sz w:val="22"/>
        </w:rPr>
        <w:t xml:space="preserve">Stanford Encyclopedia of Philosophy. "Hannah Arendt." Section 4.3, "Freedom, Natality and Plurality." </w:t>
      </w:r>
      <w:hyperlink r:id="rId23">
        <w:r>
          <w:rPr>
            <w:rFonts w:ascii="Calibri" w:hAnsi="Calibri"/>
            <w:sz w:val="20"/>
            <w:color w:val="3E6654"/>
            <w:u w:val="single"/>
          </w:rPr>
          <w:t>plato.stanford.edu</w:t>
        </w:r>
      </w:hyperlink>
    </w:p>
    <w:p>
      <w:pPr>
        <w:keepLines/>
        <w:spacing w:after="80" w:line="300" w:lineRule="auto"/>
        <w:numPr>
          <w:ilvl w:val="0"/>
          <w:numId w:val="29"/>
        </w:numPr>
      </w:pPr>
      <w:r>
        <w:rPr>
          <w:rFonts w:ascii="Calibri" w:hAnsi="Calibri"/>
          <w:b w:val="0"/>
          <w:i w:val="0"/>
          <w:color w:val="111111"/>
          <w:sz w:val="22"/>
        </w:rPr>
        <w:t xml:space="preserve">Terreblanche, Salomon J. "On History and Salvation in Emmanuel Levinas and Ernst Bloch." HTS Teologiese Studies/Theological Studies 64, no. 2 (2008). </w:t>
      </w:r>
      <w:hyperlink r:id="rId24">
        <w:r>
          <w:rPr>
            <w:rFonts w:ascii="Calibri" w:hAnsi="Calibri"/>
            <w:sz w:val="20"/>
            <w:color w:val="3E6654"/>
            <w:u w:val="single"/>
          </w:rPr>
          <w:t>scielo.org.za</w:t>
        </w:r>
      </w:hyperlink>
    </w:p>
    <w:p>
      <w:pPr>
        <w:keepLines/>
        <w:spacing w:after="80" w:line="300" w:lineRule="auto"/>
        <w:numPr>
          <w:ilvl w:val="0"/>
          <w:numId w:val="29"/>
        </w:numPr>
      </w:pPr>
      <w:r>
        <w:rPr>
          <w:rFonts w:ascii="Calibri" w:hAnsi="Calibri"/>
          <w:b w:val="0"/>
          <w:i w:val="0"/>
          <w:color w:val="111111"/>
          <w:sz w:val="22"/>
        </w:rPr>
        <w:t xml:space="preserve">Poulis, Konstantinos. "The Consequentiality of Absences in Social Settings: A Sensemaking Perspective." Sociology 59, no. 1 (2025): 107-125. </w:t>
      </w:r>
      <w:hyperlink r:id="rId25">
        <w:r>
          <w:rPr>
            <w:rFonts w:ascii="Calibri" w:hAnsi="Calibri"/>
            <w:sz w:val="20"/>
            <w:color w:val="3E6654"/>
            <w:u w:val="single"/>
          </w:rPr>
          <w:t>doi.org</w:t>
        </w:r>
      </w:hyperlink>
    </w:p>
    <w:p>
      <w:pPr>
        <w:keepLines/>
        <w:spacing w:after="80" w:line="300" w:lineRule="auto"/>
        <w:numPr>
          <w:ilvl w:val="0"/>
          <w:numId w:val="29"/>
        </w:numPr>
      </w:pPr>
      <w:r>
        <w:rPr>
          <w:rFonts w:ascii="Calibri" w:hAnsi="Calibri"/>
          <w:b w:val="0"/>
          <w:i w:val="0"/>
          <w:color w:val="111111"/>
          <w:sz w:val="22"/>
        </w:rPr>
        <w:t xml:space="preserve">Stanford Encyclopedia of Philosophy. "The Metaphysics of Causation." Discussion of omissions and absence causation. </w:t>
      </w:r>
      <w:hyperlink r:id="rId26">
        <w:r>
          <w:rPr>
            <w:rFonts w:ascii="Calibri" w:hAnsi="Calibri"/>
            <w:sz w:val="20"/>
            <w:color w:val="3E6654"/>
            <w:u w:val="single"/>
          </w:rPr>
          <w:t>plato.stanford.edu</w:t>
        </w:r>
      </w:hyperlink>
    </w:p>
    <w:p>
      <w:pPr>
        <w:pStyle w:val="Heading1"/>
      </w:pPr>
      <w:r>
        <w:t>Limitations and disagreements</w:t>
      </w:r>
    </w:p>
    <w:p>
      <w:pPr>
        <w:keepLines/>
      </w:pPr>
      <w:r>
        <w:rPr>
          <w:rFonts w:ascii="Calibri" w:hAnsi="Calibri"/>
          <w:b w:val="0"/>
          <w:i w:val="0"/>
          <w:color w:val="111111"/>
          <w:sz w:val="22"/>
        </w:rPr>
        <w:t>The historical mapping of Jacob 5 is confessional and interpretive rather than a consensus of biblical scholarship. Hoskisson's seven-period scheme is influential within Latter-day Saint interpretation but should not be presented as the only possible temporal structure. The identity of the unnamed servant is likewise disputed: proposals include prophets, covenant Israel, Jesus Christ, or a role with multiple fulfillments. The botanical literature is useful for understanding cultivation, longevity, grafting, and pruning, but the allegory deliberately exceeds ordinary horticulture and should not be judged as an agricultural manual. Finally, the terms human force, child-force, intermittent operative absence, and permanent operative absence are the chapter's constructive concepts; the outside philosophical and social-scientific sources establish adjacent problems and cautions, not prior authorship of these definitions.</w:t>
      </w:r>
    </w:p>
    <w:sectPr w:rsidR="00FC693F" w:rsidRPr="0006063C" w:rsidSect="00034616">
      <w:headerReference w:type="default" r:id="rId9"/>
      <w:footerReference w:type="default" r:id="rId10"/>
      <w:pgSz w:w="12240" w:h="15840"/>
      <w:pgMar w:top="1224" w:right="1440" w:bottom="1152"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Calibri" w:hAnsi="Calibri"/>
        <w:b w:val="0"/>
        <w:i w:val="0"/>
        <w:color w:val="5E666B"/>
        <w:sz w:val="17"/>
      </w:rPr>
      <w:t xml:space="preserve">Mostafa Azizi  |  </w:t>
    </w:r>
    <w:r>
      <w:rPr>
        <w:rFonts w:ascii="Calibri" w:hAnsi="Calibri"/>
        <w:b w:val="0"/>
        <w:i w:val="0"/>
        <w:color w:val="5E666B"/>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b w:val="0"/>
        <w:i w:val="0"/>
        <w:color w:val="5E666B"/>
        <w:sz w:val="17"/>
      </w:rPr>
      <w:t>CHAPTER 5  /  RESEARCH OUTLINE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0"/>
      </w:pPr>
    </w:lvl>
  </w:abstractNum>
  <w:num w:numId="10">
    <w:abstractNumId w:val="9"/>
  </w:num>
  <w:abstractNum w:abstractNumId="10">
    <w:multiLevelType w:val="singleLevel"/>
    <w:lvl w:ilvl="0">
      <w:start w:val="1"/>
      <w:numFmt w:val="bullet"/>
      <w:lvlText w:val="•"/>
      <w:lvlJc w:val="left"/>
      <w:pPr>
        <w:tabs>
          <w:tab w:val="num" w:pos="540"/>
        </w:tabs>
        <w:ind w:left="540" w:hanging="270"/>
      </w:pPr>
    </w:lvl>
  </w:abstractNum>
  <w:num w:numId="11">
    <w:abstractNumId w:val="10"/>
  </w:num>
  <w:abstractNum w:abstractNumId="11">
    <w:multiLevelType w:val="singleLevel"/>
    <w:lvl w:ilvl="0">
      <w:start w:val="1"/>
      <w:numFmt w:val="bullet"/>
      <w:lvlText w:val="•"/>
      <w:lvlJc w:val="left"/>
      <w:pPr>
        <w:tabs>
          <w:tab w:val="num" w:pos="540"/>
        </w:tabs>
        <w:ind w:left="540" w:hanging="270"/>
      </w:pPr>
    </w:lvl>
  </w:abstractNum>
  <w:num w:numId="12">
    <w:abstractNumId w:val="11"/>
  </w:num>
  <w:abstractNum w:abstractNumId="12">
    <w:multiLevelType w:val="singleLevel"/>
    <w:lvl w:ilvl="0">
      <w:start w:val="1"/>
      <w:numFmt w:val="bullet"/>
      <w:lvlText w:val="•"/>
      <w:lvlJc w:val="left"/>
      <w:pPr>
        <w:tabs>
          <w:tab w:val="num" w:pos="540"/>
        </w:tabs>
        <w:ind w:left="540" w:hanging="270"/>
      </w:pPr>
    </w:lvl>
  </w:abstractNum>
  <w:num w:numId="13">
    <w:abstractNumId w:val="12"/>
  </w:num>
  <w:abstractNum w:abstractNumId="13">
    <w:multiLevelType w:val="singleLevel"/>
    <w:lvl w:ilvl="0">
      <w:start w:val="1"/>
      <w:numFmt w:val="bullet"/>
      <w:lvlText w:val="•"/>
      <w:lvlJc w:val="left"/>
      <w:pPr>
        <w:tabs>
          <w:tab w:val="num" w:pos="540"/>
        </w:tabs>
        <w:ind w:left="540" w:hanging="270"/>
      </w:pPr>
    </w:lvl>
  </w:abstractNum>
  <w:num w:numId="14">
    <w:abstractNumId w:val="13"/>
  </w:num>
  <w:abstractNum w:abstractNumId="14">
    <w:multiLevelType w:val="singleLevel"/>
    <w:lvl w:ilvl="0">
      <w:start w:val="1"/>
      <w:numFmt w:val="bullet"/>
      <w:lvlText w:val="•"/>
      <w:lvlJc w:val="left"/>
      <w:pPr>
        <w:tabs>
          <w:tab w:val="num" w:pos="540"/>
        </w:tabs>
        <w:ind w:left="540" w:hanging="270"/>
      </w:pPr>
    </w:lvl>
  </w:abstractNum>
  <w:num w:numId="15">
    <w:abstractNumId w:val="14"/>
  </w:num>
  <w:abstractNum w:abstractNumId="15">
    <w:multiLevelType w:val="singleLevel"/>
    <w:lvl w:ilvl="0">
      <w:start w:val="1"/>
      <w:numFmt w:val="bullet"/>
      <w:lvlText w:val="•"/>
      <w:lvlJc w:val="left"/>
      <w:pPr>
        <w:tabs>
          <w:tab w:val="num" w:pos="540"/>
        </w:tabs>
        <w:ind w:left="540" w:hanging="270"/>
      </w:pPr>
    </w:lvl>
  </w:abstractNum>
  <w:num w:numId="16">
    <w:abstractNumId w:val="15"/>
  </w:num>
  <w:abstractNum w:abstractNumId="16">
    <w:multiLevelType w:val="singleLevel"/>
    <w:lvl w:ilvl="0">
      <w:start w:val="1"/>
      <w:numFmt w:val="bullet"/>
      <w:lvlText w:val="•"/>
      <w:lvlJc w:val="left"/>
      <w:pPr>
        <w:tabs>
          <w:tab w:val="num" w:pos="540"/>
        </w:tabs>
        <w:ind w:left="540" w:hanging="270"/>
      </w:pPr>
    </w:lvl>
  </w:abstractNum>
  <w:num w:numId="17">
    <w:abstractNumId w:val="16"/>
  </w:num>
  <w:abstractNum w:abstractNumId="17">
    <w:multiLevelType w:val="singleLevel"/>
    <w:lvl w:ilvl="0">
      <w:start w:val="1"/>
      <w:numFmt w:val="bullet"/>
      <w:lvlText w:val="•"/>
      <w:lvlJc w:val="left"/>
      <w:pPr>
        <w:tabs>
          <w:tab w:val="num" w:pos="540"/>
        </w:tabs>
        <w:ind w:left="540" w:hanging="270"/>
      </w:pPr>
    </w:lvl>
  </w:abstractNum>
  <w:num w:numId="18">
    <w:abstractNumId w:val="17"/>
  </w:num>
  <w:abstractNum w:abstractNumId="18">
    <w:multiLevelType w:val="singleLevel"/>
    <w:lvl w:ilvl="0">
      <w:start w:val="1"/>
      <w:numFmt w:val="bullet"/>
      <w:lvlText w:val="•"/>
      <w:lvlJc w:val="left"/>
      <w:pPr>
        <w:tabs>
          <w:tab w:val="num" w:pos="540"/>
        </w:tabs>
        <w:ind w:left="540" w:hanging="270"/>
      </w:pPr>
    </w:lvl>
  </w:abstractNum>
  <w:num w:numId="19">
    <w:abstractNumId w:val="18"/>
  </w:num>
  <w:abstractNum w:abstractNumId="19">
    <w:multiLevelType w:val="singleLevel"/>
    <w:lvl w:ilvl="0">
      <w:start w:val="1"/>
      <w:numFmt w:val="bullet"/>
      <w:lvlText w:val="•"/>
      <w:lvlJc w:val="left"/>
      <w:pPr>
        <w:tabs>
          <w:tab w:val="num" w:pos="540"/>
        </w:tabs>
        <w:ind w:left="540" w:hanging="270"/>
      </w:pPr>
    </w:lvl>
  </w:abstractNum>
  <w:num w:numId="20">
    <w:abstractNumId w:val="19"/>
  </w:num>
  <w:abstractNum w:abstractNumId="20">
    <w:multiLevelType w:val="singleLevel"/>
    <w:lvl w:ilvl="0">
      <w:start w:val="1"/>
      <w:numFmt w:val="bullet"/>
      <w:lvlText w:val="•"/>
      <w:lvlJc w:val="left"/>
      <w:pPr>
        <w:tabs>
          <w:tab w:val="num" w:pos="540"/>
        </w:tabs>
        <w:ind w:left="540" w:hanging="270"/>
      </w:pPr>
    </w:lvl>
  </w:abstractNum>
  <w:num w:numId="21">
    <w:abstractNumId w:val="20"/>
  </w:num>
  <w:abstractNum w:abstractNumId="21">
    <w:multiLevelType w:val="singleLevel"/>
    <w:lvl w:ilvl="0">
      <w:start w:val="1"/>
      <w:numFmt w:val="bullet"/>
      <w:lvlText w:val="•"/>
      <w:lvlJc w:val="left"/>
      <w:pPr>
        <w:tabs>
          <w:tab w:val="num" w:pos="540"/>
        </w:tabs>
        <w:ind w:left="540" w:hanging="270"/>
      </w:pPr>
    </w:lvl>
  </w:abstractNum>
  <w:num w:numId="22">
    <w:abstractNumId w:val="21"/>
  </w:num>
  <w:abstractNum w:abstractNumId="22">
    <w:multiLevelType w:val="singleLevel"/>
    <w:lvl w:ilvl="0">
      <w:start w:val="1"/>
      <w:numFmt w:val="bullet"/>
      <w:lvlText w:val="•"/>
      <w:lvlJc w:val="left"/>
      <w:pPr>
        <w:tabs>
          <w:tab w:val="num" w:pos="540"/>
        </w:tabs>
        <w:ind w:left="540" w:hanging="270"/>
      </w:pPr>
    </w:lvl>
  </w:abstractNum>
  <w:num w:numId="23">
    <w:abstractNumId w:val="22"/>
  </w:num>
  <w:abstractNum w:abstractNumId="23">
    <w:multiLevelType w:val="singleLevel"/>
    <w:lvl w:ilvl="0">
      <w:start w:val="1"/>
      <w:numFmt w:val="bullet"/>
      <w:lvlText w:val="•"/>
      <w:lvlJc w:val="left"/>
      <w:pPr>
        <w:tabs>
          <w:tab w:val="num" w:pos="540"/>
        </w:tabs>
        <w:ind w:left="540" w:hanging="270"/>
      </w:pPr>
    </w:lvl>
  </w:abstractNum>
  <w:num w:numId="24">
    <w:abstractNumId w:val="23"/>
  </w:num>
  <w:abstractNum w:abstractNumId="24">
    <w:multiLevelType w:val="singleLevel"/>
    <w:lvl w:ilvl="0">
      <w:start w:val="1"/>
      <w:numFmt w:val="bullet"/>
      <w:lvlText w:val="•"/>
      <w:lvlJc w:val="left"/>
      <w:pPr>
        <w:tabs>
          <w:tab w:val="num" w:pos="540"/>
        </w:tabs>
        <w:ind w:left="540" w:hanging="270"/>
      </w:pPr>
    </w:lvl>
  </w:abstractNum>
  <w:num w:numId="25">
    <w:abstractNumId w:val="24"/>
  </w:num>
  <w:abstractNum w:abstractNumId="25">
    <w:multiLevelType w:val="singleLevel"/>
    <w:lvl w:ilvl="0">
      <w:start w:val="1"/>
      <w:numFmt w:val="bullet"/>
      <w:lvlText w:val="•"/>
      <w:lvlJc w:val="left"/>
      <w:pPr>
        <w:tabs>
          <w:tab w:val="num" w:pos="540"/>
        </w:tabs>
        <w:ind w:left="540" w:hanging="270"/>
      </w:pPr>
    </w:lvl>
  </w:abstractNum>
  <w:num w:numId="26">
    <w:abstractNumId w:val="25"/>
  </w:num>
  <w:abstractNum w:abstractNumId="26">
    <w:multiLevelType w:val="singleLevel"/>
    <w:lvl w:ilvl="0">
      <w:start w:val="1"/>
      <w:numFmt w:val="bullet"/>
      <w:lvlText w:val="•"/>
      <w:lvlJc w:val="left"/>
      <w:pPr>
        <w:tabs>
          <w:tab w:val="num" w:pos="540"/>
        </w:tabs>
        <w:ind w:left="540" w:hanging="270"/>
      </w:pPr>
    </w:lvl>
  </w:abstractNum>
  <w:num w:numId="27">
    <w:abstractNumId w:val="26"/>
  </w:num>
  <w:abstractNum w:abstractNumId="27">
    <w:multiLevelType w:val="singleLevel"/>
    <w:lvl w:ilvl="0">
      <w:start w:val="1"/>
      <w:numFmt w:val="decimal"/>
      <w:lvlText w:val="%1."/>
      <w:lvlJc w:val="left"/>
      <w:pPr>
        <w:tabs>
          <w:tab w:val="num" w:pos="540"/>
        </w:tabs>
        <w:ind w:left="540" w:hanging="270"/>
      </w:pPr>
    </w:lvl>
  </w:abstractNum>
  <w:num w:numId="28">
    <w:abstractNumId w:val="27"/>
  </w:num>
  <w:abstractNum w:abstractNumId="28">
    <w:multiLevelType w:val="singleLevel"/>
    <w:lvl w:ilvl="0">
      <w:start w:val="1"/>
      <w:numFmt w:val="bullet"/>
      <w:lvlText w:val="•"/>
      <w:lvlJc w:val="left"/>
      <w:pPr>
        <w:tabs>
          <w:tab w:val="num" w:pos="540"/>
        </w:tabs>
        <w:ind w:left="540" w:hanging="270"/>
      </w:pPr>
    </w:lvl>
  </w:abstract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03A43"/>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3E6654"/>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03A4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utlineLabel">
    <w:name w:val="Outline Label"/>
    <w:pPr>
      <w:keepNext/>
      <w:spacing w:before="120" w:after="40"/>
    </w:pPr>
    <w:rPr>
      <w:rFonts w:ascii="Calibri" w:hAnsi="Calibri"/>
      <w:b/>
      <w:color w:val="3E6654"/>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churchofjesuschrist.org/study/scriptures/bofm/jacob/4?lang=eng" TargetMode="External"/><Relationship Id="rId12" Type="http://schemas.openxmlformats.org/officeDocument/2006/relationships/hyperlink" Target="https://www.churchofjesuschrist.org/study/scriptures/bofm/jacob/5?lang=eng" TargetMode="External"/><Relationship Id="rId13" Type="http://schemas.openxmlformats.org/officeDocument/2006/relationships/hyperlink" Target="https://www.churchofjesuschrist.org/study/scriptures/bofm/jacob/6?lang=eng" TargetMode="External"/><Relationship Id="rId14" Type="http://schemas.openxmlformats.org/officeDocument/2006/relationships/hyperlink" Target="https://rsc.byu.edu/vol-7-no-1-2006/ye-shall-have-joy-me-olive-tree-lord-his-servants" TargetMode="External"/><Relationship Id="rId15" Type="http://schemas.openxmlformats.org/officeDocument/2006/relationships/hyperlink" Target="https://archive.bookofmormoncentral.org/sites/default/files/archive-files/pdf/hoskisson/2016-02-03/ch._5-the_allegory_of_the_olive_tree.pdf" TargetMode="External"/><Relationship Id="rId16" Type="http://schemas.openxmlformats.org/officeDocument/2006/relationships/hyperlink" Target="https://scripturecentral.org/archive/books/book/allegory-olive-tree-olive-bible-and-jacob-5" TargetMode="External"/><Relationship Id="rId17" Type="http://schemas.openxmlformats.org/officeDocument/2006/relationships/hyperlink" Target="https://www.churchofjesuschrist.org/study/manual/book-of-mormon-student-manual/chapter-16-jacob-5-7?lang=eng" TargetMode="External"/><Relationship Id="rId18" Type="http://schemas.openxmlformats.org/officeDocument/2006/relationships/hyperlink" Target="https://www.biblegateway.com/passage/?search=Isaiah%205%3A1-7&amp;version=NRSVUE" TargetMode="External"/><Relationship Id="rId19" Type="http://schemas.openxmlformats.org/officeDocument/2006/relationships/hyperlink" Target="https://www.biblegateway.com/passage/?search=Romans%2011%3A17-24&amp;version=NRSVUE" TargetMode="External"/><Relationship Id="rId20" Type="http://schemas.openxmlformats.org/officeDocument/2006/relationships/hyperlink" Target="https://doi.org/10.1111/edth.12637" TargetMode="External"/><Relationship Id="rId21" Type="http://schemas.openxmlformats.org/officeDocument/2006/relationships/hyperlink" Target="https://ideas.repec.org/a/vep/journl/y2009v117i3p631-654.html" TargetMode="External"/><Relationship Id="rId22" Type="http://schemas.openxmlformats.org/officeDocument/2006/relationships/hyperlink" Target="https://pmc.ncbi.nlm.nih.gov/articles/PMC7011967/" TargetMode="External"/><Relationship Id="rId23" Type="http://schemas.openxmlformats.org/officeDocument/2006/relationships/hyperlink" Target="https://plato.stanford.edu/entries/arendt/" TargetMode="External"/><Relationship Id="rId24" Type="http://schemas.openxmlformats.org/officeDocument/2006/relationships/hyperlink" Target="https://scielo.org.za/scielo.php?pid=S0259-94222008000200010&amp;script=sci_arttext" TargetMode="External"/><Relationship Id="rId25" Type="http://schemas.openxmlformats.org/officeDocument/2006/relationships/hyperlink" Target="https://doi.org/10.1177/00380385241263810" TargetMode="External"/><Relationship Id="rId26" Type="http://schemas.openxmlformats.org/officeDocument/2006/relationships/hyperlink" Target="https://plato.stanford.edu/entries/causation-metaphys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 The Vineyard and the Force of the Unrealized</dc:title>
  <dc:subject>Academic chapter outline on Jacob 5, human force, child-force, and operative absence</dc:subject>
  <dc:creator>Mostafa Azizi</dc:creator>
  <cp:keywords>Jacob 5; olive tree; human force; child-force; operative absence; formation</cp:keywords>
  <dc:description>Research outline prepared 5 September 2026</dc:description>
  <cp:lastModifiedBy/>
  <cp:revision>1</cp:revision>
  <dcterms:created xsi:type="dcterms:W3CDTF">2013-12-23T23:15:00Z</dcterms:created>
  <dcterms:modified xsi:type="dcterms:W3CDTF">2013-12-23T23:15:00Z</dcterms:modified>
  <cp:category/>
</cp:coreProperties>
</file>