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and the Formation of Response</w:t>
      </w:r>
    </w:p>
    <w:p>
      <w:r>
        <w:t>Learning becomes philosophically interesting at the point where producing an answer and answering adequately cease to be interchangeable. A system can operate exactly as constructed and still fail to meet what a situation requires. Conversely, an accomplished response can reveal a sensitivity whose achievement is evident in the act itself, before the respondent can explain how it was achieved. The central proposal of this essay is that learning is responding insofar as it transforms the conditions of further response. Its further question concerns the authority of that transformation: does a developing capacity become answerable to relations it does not invent, or merely proficient at satisfying the evaluations through which it has been formed?</w:t>
      </w:r>
    </w:p>
    <w:p>
      <w:r>
        <w:t>Artificial neural networks make this question unusually concrete. Their learning procedures can be inspected, altered, and compared. Backpropagation, equilibrium propagation, local learning, and evolutionary search organize the consequences of a performance differently, even where they arrive at similarly useful behavior. These differences allow a philosophy of response to move beyond a general analogy and identify where adjustment occurs, what directs it, and what survives. They also expose a limit: explaining the production of a response does not, by itself, establish its epistemic adequacy or ethical worth.</w:t>
      </w:r>
    </w:p>
    <w:p>
      <w:r>
        <w:t>The inquiry continues the account of address developed in “Re: An Introduction,” where responsiveness connects ordinary material encounters with invocation, practical judgment, and legal consciousness. The governing concern there is effective relation: knowing how to approach, listen, and answer within a situation whose possibilities exceed one's initiative. Here that concern becomes a way of examining learning mechanisms and their claims to success. The argument proceeds toward nous and Plato's Good beyond being, while keeping the philosophical interpretation distinguishable from the technical findings that occasion it.</w:t>
      </w:r>
      <w:r>
        <w:rPr>
          <w:rStyle w:val="FootnoteReference"/>
        </w:rPr>
        <w:footnoteReference w:id="1"/>
      </w:r>
      <w:r/>
    </w:p>
    <w:p>
      <w:r>
        <w:t>A neural network consists of connected computational units whose operations transform inputs into outputs. Its architecture specifies an arrangement of those operations; its parameters, including connection weights, determine many of the details of its behavior. Training changes some of these parameters, or in certain methods the architecture itself. We should already distinguish the network from the larger arrangement that trains it. Data selection, evaluation, and the update procedure need not be contained within the network whose output is being assessed.</w:t>
      </w:r>
    </w:p>
    <w:p>
      <w:r>
        <w:t>In standard gradient-based training, a loss function measures a discrepancy or cost associated with the output. Backpropagation applies the chain rule to calculate how that loss varies with the adjustable parameters. An optimizer uses this information to change them; ordinary gradient descent moves against the gradient, with a step size controlling the adjustment. Rumelhart, Hinton, and Williams's 1986 paper demonstrated how such training could produce useful internal representations. The procedure supplies a means of allocating differentiated adjustment across a multilayer computation.</w:t>
      </w:r>
      <w:r>
        <w:rPr>
          <w:rStyle w:val="FootnoteReference"/>
        </w:rPr>
        <w:footnoteReference w:id="2"/>
      </w:r>
      <w:r/>
    </w:p>
    <w:p>
      <w:r>
        <w:t>The familiar statement that loss measures the mistake while backpropagation assigns the blame therefore needs qualification. The derivatives express local sensitivities of a specified objective within a specified computation. They do not supply an exhaustive causal history of failure, and they do not determine whether the objective captures everything that matters. Furthermore, a gradient supplies a local direction: a finite update can overshoot, and an improvement on one batch does not guarantee an improvement on unseen situations. The mathematical precision concerns an explicitly delimited relation between parameters and loss.</w:t>
      </w:r>
    </w:p>
    <w:p>
      <w:r>
        <w:t>“Molding” offers an initial image for the persistence of these adjustments. What a network does next depends on a configuration already modified by earlier training. The image captures historical formation without requiring the network to contain an explicit narrative of its history. Yet “the plastic relaxes into place” combines two events that must sometimes be separated. A system's changing activity can settle while its enduring parameters remain fixed; a parameter update can also occur without any process resembling the physical settling of a material.</w:t>
      </w:r>
    </w:p>
    <w:p>
      <w:r>
        <w:t>Relaxation becomes an actual computational mechanism in equilibrium propagation. In the energy-based setting developed by Scellier and Bengio, activity first approaches a free equilibrium. A weak influence then nudges the outputs toward a target, producing a nearby equilibrium. The difference between phases provides information for modifying the connections. Under the framework's assumptions, including the appropriate equilibrium and infinitesimal-nudging conditions, the update recovers a gradient of an objective. The method changes how that gradient becomes available; it does not abolish gradient-based learning. Its original recurrent construction uses symmetric interactions, so the result cannot simply be applied to every network without qualification.</w:t>
      </w:r>
      <w:r>
        <w:rPr>
          <w:rStyle w:val="FootnoteReference"/>
        </w:rPr>
        <w:footnoteReference w:id="3"/>
      </w:r>
      <w:r/>
    </w:p>
    <w:p>
      <w:r>
        <w:t>The philosophical interest is the separation between a passing configuration and a retained disposition. In equilibrium propagation, the activity responds during settling, while the learning rule converts information from that response into a modification of future activity. Our phrase becomes precise when it identifies that conversion. “Place” then names a configuration reached under current constraints, rather than a final destination toward which all formation must necessarily move. The next encounter can expose a further inadequacy or make another configuration available.</w:t>
      </w:r>
    </w:p>
    <w:p>
      <w:r>
        <w:t>Other methods relocate the direction of change. Hinton's Forward-Forward procedure trains layers with local objectives that distinguish positive from negative examples. Each layer changes its parameters to raise or lower its own measure of goodness, rather than receiving the usual derivatives propagated backward from a final loss through the entire network. This remains gradient-based adjustment. Hinton presented the method as preliminary, demonstrating it on limited problems and reporting disadvantages relative to backpropagation on some of them. Its significance here is the distribution of evaluation: different parts of the network receive more local criteria for what their responses should become.</w:t>
      </w:r>
      <w:r>
        <w:rPr>
          <w:rStyle w:val="FootnoteReference"/>
        </w:rPr>
        <w:footnoteReference w:id="4"/>
      </w:r>
      <w:r/>
    </w:p>
    <w:p>
      <w:r>
        <w:t>Evolutionary search organizes learning at another scale. A population of candidate networks is evaluated; selected configurations contribute to new variants through mutation and, in some algorithms, recombination. A candidate may perform its entire evaluation without changing its weights. The historical consequence of its performance appears in subsequent candidates. NEAT, introduced by Stanley and Miikkulainen, evolves both weights and network structure, combining incremental structural growth with mechanisms intended to preserve promising innovations. Its demonstrations establish a working route to neural-network behavior without ordinary backpropagation through each candidate's computation.</w:t>
      </w:r>
      <w:r>
        <w:rPr>
          <w:rStyle w:val="FootnoteReference"/>
        </w:rPr>
        <w:footnoteReference w:id="5"/>
      </w:r>
      <w:r/>
    </w:p>
    <w:p>
      <w:r>
        <w:t>Here the apparent learner depends on where the boundary is drawn. The candidate network responds, but the population or search distribution carries the adaptation across evaluations. Calling this a network's learning is convenient engineering language; it must not make us attribute an acquired change to an individual that underwent none. The broader process retains differences through reproduction and selection. A philosophy of response must therefore account for histories that pass through replacement as well as histories that persist within a continuing individual.</w:t>
      </w:r>
    </w:p>
    <w:p>
      <w:r>
        <w:t>Even this contrast cannot be reduced to gradients on one side and evolution on the other. Salimans and colleagues studied evolution strategies that estimate a gradient of expected performance under a distribution of parameter perturbations. Whole-policy evaluations contribute to a statistical estimate, without requiring derivatives through the policy's interaction with its environment. Their work illustrates an overlap between evolutionary search and gradient optimization. The relevant distinction concerns which quantity is differentiated and how information for the update is obtained, rather than whether the word “gradient” appears at all.</w:t>
      </w:r>
      <w:r>
        <w:rPr>
          <w:rStyle w:val="FootnoteReference"/>
        </w:rPr>
        <w:footnoteReference w:id="6"/>
      </w:r>
      <w:r/>
    </w:p>
    <w:p>
      <w:r>
        <w:t>These methods consequently form a family of routes rather than a ladder of increasing intelligence. Backpropagation obtains parameter sensitivities by differentiating the implemented computation; equilibrium propagation uses differences between settled states; Forward-Forward supplies local layer objectives; evolutionary methods evaluate and preserve variations at the level of candidates or search distributions. Their practical value depends on the problem and resources. The conceptual gain is to ask which encounter becomes informative for which part of a developing system, and by what mechanism its consequences are retained.</w:t>
      </w:r>
    </w:p>
    <w:p>
      <w:r>
        <w:t>This is where the proposed definition earns its place: learning is responding insofar as it transforms the conditions of further response. “Conditions” includes whatever retained organization changes a later disposition to act, discriminate, or predict. The phrase should not encompass every enduring alteration. Damage and an arbitrary overwrite can also change future behavior. For the present account, learning requires an organized dependence of subsequent dispositions on encountered information or feedback, although that dependence can produce error, rigidity, or maladaptation. The definition concerns formative responsiveness without assuming that every formation is beneficial.</w:t>
      </w:r>
    </w:p>
    <w:p>
      <w:r>
        <w:t>It also distinguishes the exercise of a capacity from its acquisition. A fixed network can answer a new input without any persistent weight update. A context or recurrent state can alter later outputs over a shorter interval, and whether this constitutes learning depends partly on the specified timescale and what is retained. Thus response and learning are aspects of one continuing process in some settings, but they are not synonyms in every instance. The task is to identify the continuity rather than impose it through vocabulary.</w:t>
      </w:r>
    </w:p>
    <w:p>
      <w:r>
        <w:t>Evaluation itself participates in that continuity. A network produces an output; a training procedure answers it with a loss, an update, or a selection decision. This second response helps shape the first kind of response available in the future. Yet “the system's own criterion” can be misleading: the criterion is often supplied by designers, annotators, institutions, or an environment. It may already be exterior to the network. The harder question concerns whether that criterion adequately represents the relation or need to which the whole training arrangement is meant to answer.</w:t>
      </w:r>
    </w:p>
    <w:p>
      <w:r>
        <w:t>That question has an empirical foothold. Zhang and colleagues showed that sufficiently capable neural networks could fit randomly assigned training labels, illustrating why successful fitting alone cannot explain useful generalization. The finding does not show that ordinarily trained networks merely memorize. It shows that attaining a training objective leaves unresolved what has made a learned response reliable beyond the examples on which adjustment occurred. An account of formation must therefore distinguish the fact of retained adaptation from the scope of its adequacy.</w:t>
      </w:r>
      <w:r>
        <w:rPr>
          <w:rStyle w:val="FootnoteReference"/>
        </w:rPr>
        <w:footnoteReference w:id="7"/>
      </w:r>
      <w:r/>
    </w:p>
    <w:p>
      <w:r>
        <w:t>The same distinction appears more concretely in Geirhos and colleagues' experiments on shape and texture. ImageNet-trained convolutional networks often favored texture in images where shape and texture suggested different categories. Training a standard architecture on stylized images shifted its behavior toward shape and improved several forms of robustness. The architecture alone therefore did not determine which available relations would guide classification. A change in the field of training encounters could change what the formed capacity became sensitive to.</w:t>
      </w:r>
      <w:r>
        <w:rPr>
          <w:rStyle w:val="FootnoteReference"/>
        </w:rPr>
        <w:footnoteReference w:id="8"/>
      </w:r>
      <w:r/>
    </w:p>
    <w:p>
      <w:r>
        <w:t>Shortcut learning gives this problem a broader name: a decision rule can succeed under familiar evaluation conditions while failing under changes that expose what it relied upon. A useful cue may be present in the data yet insufficient for the task as actually intended. Our philosophical interpretation is that an apparent success can answer the organization of the test more adequately than it answers the situation the test was meant to represent. The distinction is not settled by calling one cue superficial; it requires an account of the task and evidence about the consequences of relying on that cue.</w:t>
      </w:r>
      <w:r>
        <w:rPr>
          <w:rStyle w:val="FootnoteReference"/>
        </w:rPr>
        <w:footnoteReference w:id="9"/>
      </w:r>
      <w:r/>
    </w:p>
    <w:p>
      <w:r>
        <w:t>The language of invocation brings attention to this efficacy of relation. An address includes its recipient, manner, timing, and conditions of reception. A statement may be intelligible yet fail to obtain a hearing; a request may reach someone without being recognized as a claim. The lawyer example in “Re: An Introduction” makes this practical. The sought achievement is an ability to listen and intervene appropriately in a particular unfolding situation. Knowing many rules can support that achievement, but a catalogue of rules is not identical with the exercised capacity to respond.</w:t>
      </w:r>
    </w:p>
    <w:p>
      <w:r>
        <w:t>Legal consciousness, in this proposed sense, concerns how persons understand and inhabit arrangements of answerability. Institutions help determine who can make a claim, where it can be heard, and what can follow from its recognition. These arrangements are historical and revisable; their efficacy does not establish their justice. A lawyer's successful intervention demonstrates practical competence under particular conditions, while the merits of the cause and the justice of the procedure remain open to judgment. The example therefore deepens the distinction between successful invocation and responding well in the fuller ethical sense.</w:t>
      </w:r>
    </w:p>
    <w:p>
      <w:r>
        <w:t>Qur'an 13:14 gives invocation an explicitly theological setting. The verse attributes true invocation to God and contrasts it with calling upon others who do not answer, using the image of hands extended toward water that does not reach the mouth. Its textual force includes the question of the addressee; this cannot be removed in favor of a purely procedural lesson. A philosophical reading can nevertheless dwell on the unfulfilled gesture: an act of reaching does not itself accomplish the relation sought. This reading extends the image without claiming to replace the verse's theological contrast.</w:t>
      </w:r>
      <w:r>
        <w:rPr>
          <w:rStyle w:val="FootnoteReference"/>
        </w:rPr>
        <w:footnoteReference w:id="10"/>
      </w:r>
      <w:r/>
    </w:p>
    <w:p>
      <w:r>
        <w:t>Within the theological orientation of this inquiry, addressing God concerns the horizon in which knowledge and power find their significance. Revelation is encountered as a claim within life, rather than treated only as an additional object awaiting classification. This does not make invocation a technique for controlling its addressee. Indeed, answering remains meaningful because the answer is not exhausted by the caller's intention. The comparison with neural networks concerns the limits of self-sufficient evaluation; it does not identify divine response with computational feedback or make technical performance evidence for revelation.</w:t>
      </w:r>
    </w:p>
    <w:p>
      <w:r>
        <w:t>Responding well now becomes an achievement of receptivity. Consider the pride someone takes in having found the right words at the right moment. This need not amount to congratulating an invention produced entirely from within. The achievement can consist in recognizing a demand, hesitation, or opening whose significance was already available in the situation. “Trace” names that availability here: an articulation that guides the response without having been freely instituted by the respondent. The term is used in this limited working sense, without presupposing a complete theory of the trace.</w:t>
      </w:r>
    </w:p>
    <w:p>
      <w:r>
        <w:t>Such receptivity is active. A situation seldom announces its adequate response as a fully written instruction. The respondent must discriminate, bring experience to bear, and sometimes transform the circumstances through the answer itself. What precedes the answer is therefore not necessarily one ready-made response waiting to be copied. It can be a set of constraints and possibilities that admits several adequate realizations. The response is an achievement because the respondent must take up those relations, not because the respondent created all the conditions of their appropriateness.</w:t>
      </w:r>
    </w:p>
    <w:p>
      <w:r>
        <w:t>Nous gives historical depth to the question of apprehension. It names intellect or understanding in Greek philosophical usage, but its meanings should not be compressed into a single faculty of effortless correctness. In Book VI of the Nicomachean Ethics, Aristotle distinguishes intellectual apprehension of principles from deliberative practical wisdom and stresses the importance of particulars in action. This distinction helps preserve the difference between grasping an intelligible relation and judging what to do in a contingent situation. An expert response can involve both, without either being equivalent to the mechanical application of an explicit rule.</w:t>
      </w:r>
      <w:r>
        <w:rPr>
          <w:rStyle w:val="FootnoteReference"/>
        </w:rPr>
        <w:footnoteReference w:id="11"/>
      </w:r>
      <w:r/>
    </w:p>
    <w:p>
      <w:r>
        <w:t>The claim of exteriority follows at the level of adequacy. A response is produced through a system, but its appropriateness belongs to a relation extending beyond the system's internal operation. This claim does not require an unmediated encounter with a world stripped of language, convention, or history. A legal claim, for example, depends on socially constituted forms while remaining answerable to other persons and consequences that a single respondent does not control. Exteriority here names a limit on unilateral determination: the answering system cannot make its answer adequate merely by declaring that it is.</w:t>
      </w:r>
    </w:p>
    <w:p>
      <w:r>
        <w:t>This yields a more discriminating question of necessity. A network has a causal history explaining how its present configuration arose. That history does not establish that it was the only configuration capable of its function. Even a simple permutation of interchangeable hidden units, accompanied by corresponding permutations of their connections, can preserve the input-output function while changing the parameter arrangement. Exact numerical composition is therefore too strict a location for the necessity we seek. Equivalent realizations can answer to the same functional demand.</w:t>
      </w:r>
    </w:p>
    <w:p>
      <w:r>
        <w:t>Practical underdetermination reaches further than this symmetry. D'Amour and colleagues examine how learning pipelines can produce predictors with comparable standard performance but different behavior under conditions important for deployment. Their account of underspecification shows why an accepted evaluation procedure may leave consequential properties unsettled. A trained network's composition reflects constraints, data, and choices, but the measured result need not uniquely determine which capacities it acquired. The absence of uniqueness does not imply the absence of real constraints.</w:t>
      </w:r>
      <w:r>
        <w:rPr>
          <w:rStyle w:val="FootnoteReference"/>
        </w:rPr>
        <w:footnoteReference w:id="12"/>
      </w:r>
      <w:r/>
    </w:p>
    <w:p>
      <w:r>
        <w:t>The strongest defensible necessity is therefore initially conditional. If a system is to distinguish situations that require different answers, it must preserve access to some information that differentiates them. If it is to remain reliable under a particular change, its successful behavior cannot depend exclusively on a feature that the change removes. These requirements constrain the relation between a capacity and its task without specifying every parameter. They are open to argument and experiment. A further claim that all adequate capacities share one metaphysically necessary composition would require evidence and premises that these learning methods do not provide.</w:t>
      </w:r>
    </w:p>
    <w:p>
      <w:r>
        <w:t>The appeal to Plato's epekeina tēs ousias, the Good beyond being, concerns a different depth of necessity. In Republic VI, the sun analogy relates the power of knowing and the intelligibility of what is known to the Good. At 509b, the Good exceeds ousia in dignity and power; translations render ousia as being or essence. The passage gives the Good an explanatory status that cannot be reduced to another item within the account it makes possible. It is an ontological and epistemological claim, not simply a historical formulation of the modern distinction between facts and values.</w:t>
      </w:r>
      <w:r>
        <w:rPr>
          <w:rStyle w:val="FootnoteReference"/>
        </w:rPr>
        <w:footnoteReference w:id="13"/>
      </w:r>
      <w:r/>
    </w:p>
    <w:p>
      <w:r>
        <w:t>The proposed connection is that a complete description of an answering mechanism leaves open the justification of its orientation. We may understand every step by which a score is optimized and still ask whether that score deserves to govern the capacity being formed. The Good beyond being is invoked here as a philosophical challenge to the sufficiency of that description. A formal objective can guide operations without exhausting the question of their good. This is an extension of the Platonic problem into the study of learning, not a claim that a loss function implements the Form of the Good.</w:t>
      </w:r>
    </w:p>
    <w:p>
      <w:r>
        <w:t>Plato's image of the great beast earlier in Book VI makes the challenge concrete. Someone can become expert in a creature's appetites and reactions, learning how to soothe or provoke it, and then mistake this proficiency for wisdom about good and evil. The passage distinguishes successful accommodation to approval from knowledge of what deserves approval. Its relevance to trained systems lies in that distinction, rather than in an identification of a neural network with a sophist. Predicting or satisfying an evaluator can be an impressive acquired capacity whose normative authority remains unestablished.</w:t>
      </w:r>
      <w:r>
        <w:rPr>
          <w:rStyle w:val="FootnoteReference"/>
        </w:rPr>
        <w:footnoteReference w:id="14"/>
      </w:r>
      <w:r/>
    </w:p>
    <w:p>
      <w:r>
        <w:t>Book VII adds a corresponding account of education: the capacity for learning must be turned toward what it should apprehend. This supplies a historical resource for thinking about formation as orientation. Our use of it does not imply that an artificial network possesses Plato's soul or that learning merely uncovers fully formed knowledge already inside it. It highlights why a growing ability to discriminate must be considered together with the direction in which that ability is exercised. More successful operation cannot settle that direction by itself.</w:t>
      </w:r>
      <w:r>
        <w:rPr>
          <w:rStyle w:val="FootnoteReference"/>
        </w:rPr>
        <w:footnoteReference w:id="15"/>
      </w:r>
      <w:r/>
    </w:p>
    <w:p>
      <w:r>
        <w:t>The inquiry can now generate concrete comparisons without pretending to have completed them. One experiment would train different methods under matched tasks, then alter features that were predictive during training but irrelevant to the intended relation. A paired intervention would alter a genuinely relevant feature while holding incidental appearances stable. The combination asks whether the model remains stable where it should and changes where it must. Such comparisons require reporting both computational expenditure and the number of evaluated encounters, since the methods use resources differently.</w:t>
      </w:r>
    </w:p>
    <w:p>
      <w:r>
        <w:t>Another comparison would examine what is retained when demands change. Does improvement in a new setting preserve earlier capacities, selectively revise them, or erase them? The important outcome is a profile of response across conditions, rather than one aggregate score treated as a complete account of formation. Interventions on internal components can then test hypotheses about which mechanisms support those capacities. Behavioral generalization supplies evidence of adequacy; agreement among methods or visually similar representations alone would not prove that an exterior intelligibility had been uniquely captured.</w:t>
      </w:r>
    </w:p>
    <w:p>
      <w:r>
        <w:t>These empirical questions cannot adjudicate every ethical or theological claim, but they can discipline the philosophical use of examples. They distinguish constraints a method actually learns to respect from relations attributed to it on the strength of one successful performance. They also prevent exteriority from becoming a mysterious supplement immune to investigation. The world beyond an evaluation can be approached through new cases, material consequences, and the testimony of those affected, even though no finite evaluation exhausts that world.</w:t>
      </w:r>
    </w:p>
    <w:p>
      <w:r>
        <w:t>Learning, on this account, is a history of responding that enters into the conditions of further response. Backpropagation and evolutionary search show that this history can be organized through different continuities and different sources of guidance. Responding well adds a demand that neither continuity nor improvement under a supplied measure can satisfy automatically. Its achievement lies in an adequacy between the formed capacity and what calls for it, an adequacy whose grounds the respondent does not wholly possess. To study the formation of intelligence is therefore to study how a capacity becomes answerable, and how its success remains exposed to judgment beyond the procedure that produced it.</w:t>
      </w:r>
    </w:p>
    <w:p>
      <w:r>
        <w:br w:type="page"/>
      </w:r>
    </w:p>
    <w:p>
      <w:pPr>
        <w:keepNext/>
        <w:spacing w:after="240"/>
      </w:pPr>
      <w:r>
        <w:rPr>
          <w:sz w:val="30"/>
        </w:rPr>
        <w:t>Sources</w:t>
      </w:r>
    </w:p>
    <w:p>
      <w:pPr>
        <w:keepLines/>
        <w:spacing w:after="180"/>
        <w:ind w:left="331" w:hanging="331"/>
      </w:pPr>
      <w:r>
        <w:rPr>
          <w:sz w:val="21"/>
        </w:rPr>
        <w:t xml:space="preserve">1. Mostafa Azizi. </w:t>
      </w:r>
      <w:hyperlink r:id="rId9">
        <w:r>
          <w:rPr>
            <w:color w:val="000000"/>
            <w:sz w:val="21"/>
            <w:u w:val="none"/>
          </w:rPr>
          <w:t>Re: An Introduction</w:t>
        </w:r>
      </w:hyperlink>
      <w:r>
        <w:rPr>
          <w:sz w:val="21"/>
        </w:rPr>
        <w:t>. June 30, 2026. OV1D.</w:t>
      </w:r>
    </w:p>
    <w:p>
      <w:pPr>
        <w:keepLines/>
        <w:spacing w:after="180"/>
        <w:ind w:left="331" w:hanging="331"/>
      </w:pPr>
      <w:r>
        <w:rPr>
          <w:sz w:val="21"/>
        </w:rPr>
        <w:t xml:space="preserve">2. David E. Rumelhart, Geoffrey E. Hinton, and Ronald J. Williams. </w:t>
      </w:r>
      <w:hyperlink r:id="rId10">
        <w:r>
          <w:rPr>
            <w:color w:val="000000"/>
            <w:sz w:val="21"/>
            <w:u w:val="none"/>
          </w:rPr>
          <w:t>Learning representations by back-propagating errors</w:t>
        </w:r>
      </w:hyperlink>
      <w:r>
        <w:rPr>
          <w:sz w:val="21"/>
        </w:rPr>
        <w:t>. Nature 323 (1986): 533–536. doi:10.1038/323533a0.</w:t>
      </w:r>
    </w:p>
    <w:p>
      <w:pPr>
        <w:keepLines/>
        <w:spacing w:after="180"/>
        <w:ind w:left="331" w:hanging="331"/>
      </w:pPr>
      <w:r>
        <w:rPr>
          <w:sz w:val="21"/>
        </w:rPr>
        <w:t xml:space="preserve">3. Benjamin Scellier and Yoshua Bengio. </w:t>
      </w:r>
      <w:hyperlink r:id="rId11">
        <w:r>
          <w:rPr>
            <w:color w:val="000000"/>
            <w:sz w:val="21"/>
            <w:u w:val="none"/>
          </w:rPr>
          <w:t>Equilibrium Propagation: Bridging the Gap Between Energy-Based Models and Backpropagation</w:t>
        </w:r>
      </w:hyperlink>
      <w:r>
        <w:rPr>
          <w:sz w:val="21"/>
        </w:rPr>
        <w:t>. 2017 revision. arXiv:1602.05179. Especially sections 2–3.</w:t>
      </w:r>
    </w:p>
    <w:p>
      <w:pPr>
        <w:keepLines/>
        <w:spacing w:after="180"/>
        <w:ind w:left="331" w:hanging="331"/>
      </w:pPr>
      <w:r>
        <w:rPr>
          <w:sz w:val="21"/>
        </w:rPr>
        <w:t xml:space="preserve">4. Geoffrey Hinton. </w:t>
      </w:r>
      <w:hyperlink r:id="rId12">
        <w:r>
          <w:rPr>
            <w:color w:val="000000"/>
            <w:sz w:val="21"/>
            <w:u w:val="none"/>
          </w:rPr>
          <w:t>The Forward-Forward Algorithm: Some Preliminary Investigations</w:t>
        </w:r>
      </w:hyperlink>
      <w:r>
        <w:rPr>
          <w:sz w:val="21"/>
        </w:rPr>
        <w:t>. 2022. arXiv:2212.13345. Especially sections 1–3.</w:t>
      </w:r>
    </w:p>
    <w:p>
      <w:pPr>
        <w:keepLines/>
        <w:spacing w:after="180"/>
        <w:ind w:left="331" w:hanging="331"/>
      </w:pPr>
      <w:r>
        <w:rPr>
          <w:sz w:val="21"/>
        </w:rPr>
        <w:t xml:space="preserve">5. Kenneth O. Stanley and Risto Miikkulainen. </w:t>
      </w:r>
      <w:hyperlink r:id="rId13">
        <w:r>
          <w:rPr>
            <w:color w:val="000000"/>
            <w:sz w:val="21"/>
            <w:u w:val="none"/>
          </w:rPr>
          <w:t>Evolving Neural Networks through Augmenting Topologies</w:t>
        </w:r>
      </w:hyperlink>
      <w:r>
        <w:rPr>
          <w:sz w:val="21"/>
        </w:rPr>
        <w:t>. Evolutionary Computation 10, no. 2 (2002): 99–127.</w:t>
      </w:r>
    </w:p>
    <w:p>
      <w:pPr>
        <w:keepLines/>
        <w:spacing w:after="180"/>
        <w:ind w:left="331" w:hanging="331"/>
      </w:pPr>
      <w:r>
        <w:rPr>
          <w:sz w:val="21"/>
        </w:rPr>
        <w:t xml:space="preserve">6. Tim Salimans, Jonathan Ho, Xi Chen, Szymon Sidor, and Ilya Sutskever. </w:t>
      </w:r>
      <w:hyperlink r:id="rId14">
        <w:r>
          <w:rPr>
            <w:color w:val="000000"/>
            <w:sz w:val="21"/>
            <w:u w:val="none"/>
          </w:rPr>
          <w:t>Evolution Strategies as a Scalable Alternative to Reinforcement Learning</w:t>
        </w:r>
      </w:hyperlink>
      <w:r>
        <w:rPr>
          <w:sz w:val="21"/>
        </w:rPr>
        <w:t>. 2017. arXiv:1703.03864. Especially section 2, pp. 2–3.</w:t>
      </w:r>
    </w:p>
    <w:p>
      <w:pPr>
        <w:keepLines/>
        <w:spacing w:after="180"/>
        <w:ind w:left="331" w:hanging="331"/>
      </w:pPr>
      <w:r>
        <w:rPr>
          <w:sz w:val="21"/>
        </w:rPr>
        <w:t xml:space="preserve">7. Chiyuan Zhang, Samy Bengio, Moritz Hardt, Benjamin Recht, and Oriol Vinyals. </w:t>
      </w:r>
      <w:hyperlink r:id="rId15">
        <w:r>
          <w:rPr>
            <w:color w:val="000000"/>
            <w:sz w:val="21"/>
            <w:u w:val="none"/>
          </w:rPr>
          <w:t>Understanding deep learning requires rethinking generalization</w:t>
        </w:r>
      </w:hyperlink>
      <w:r>
        <w:rPr>
          <w:sz w:val="21"/>
        </w:rPr>
        <w:t>. International Conference on Learning Representations, 2017. arXiv:1611.03530.</w:t>
      </w:r>
    </w:p>
    <w:p>
      <w:pPr>
        <w:keepLines/>
        <w:spacing w:after="180"/>
        <w:ind w:left="331" w:hanging="331"/>
      </w:pPr>
      <w:r>
        <w:rPr>
          <w:sz w:val="21"/>
        </w:rPr>
        <w:t xml:space="preserve">8. Robert Geirhos, Patricia Rubisch, Claudio Michaelis, Matthias Bethge, Felix A. Wichmann, and Wieland Brendel. </w:t>
      </w:r>
      <w:hyperlink r:id="rId16">
        <w:r>
          <w:rPr>
            <w:color w:val="000000"/>
            <w:sz w:val="21"/>
            <w:u w:val="none"/>
          </w:rPr>
          <w:t>ImageNet-trained CNNs are biased towards texture; increasing shape bias improves accuracy and robustness</w:t>
        </w:r>
      </w:hyperlink>
      <w:r>
        <w:rPr>
          <w:sz w:val="21"/>
        </w:rPr>
        <w:t>. International Conference on Learning Representations, 2019. arXiv:1811.12231.</w:t>
      </w:r>
    </w:p>
    <w:p>
      <w:pPr>
        <w:keepLines/>
        <w:spacing w:after="180"/>
        <w:ind w:left="331" w:hanging="331"/>
      </w:pPr>
      <w:r>
        <w:rPr>
          <w:sz w:val="21"/>
        </w:rPr>
        <w:t xml:space="preserve">9. Robert Geirhos, Jörn-Henrik Jacobsen, Claudio Michaelis, Richard Zemel, Wieland Brendel, Matthias Bethge, and Felix A. Wichmann. </w:t>
      </w:r>
      <w:hyperlink r:id="rId17">
        <w:r>
          <w:rPr>
            <w:color w:val="000000"/>
            <w:sz w:val="21"/>
            <w:u w:val="none"/>
          </w:rPr>
          <w:t>Shortcut Learning in Deep Neural Networks</w:t>
        </w:r>
      </w:hyperlink>
      <w:r>
        <w:rPr>
          <w:sz w:val="21"/>
        </w:rPr>
        <w:t>. Nature Machine Intelligence (2020). doi:10.1038/s42256-020-00257-z. arXiv:2004.07780.</w:t>
      </w:r>
    </w:p>
    <w:p>
      <w:pPr>
        <w:keepLines/>
        <w:spacing w:after="180"/>
        <w:ind w:left="331" w:hanging="331"/>
      </w:pPr>
      <w:r>
        <w:rPr>
          <w:sz w:val="21"/>
        </w:rPr>
        <w:t xml:space="preserve">10. Qur’an. </w:t>
      </w:r>
      <w:hyperlink r:id="rId18">
        <w:r>
          <w:rPr>
            <w:color w:val="000000"/>
            <w:sz w:val="21"/>
            <w:u w:val="none"/>
          </w:rPr>
          <w:t>Ar-Raʿd 13:14</w:t>
        </w:r>
      </w:hyperlink>
      <w:r>
        <w:rPr>
          <w:sz w:val="21"/>
        </w:rPr>
        <w:t>. Arabic text and translation by Mustafa Khattab, The Clear Quran. Quran.com.</w:t>
      </w:r>
    </w:p>
    <w:p>
      <w:pPr>
        <w:keepLines/>
        <w:spacing w:after="180"/>
        <w:ind w:left="331" w:hanging="331"/>
      </w:pPr>
      <w:r>
        <w:rPr>
          <w:sz w:val="21"/>
        </w:rPr>
        <w:t xml:space="preserve">11. Aristotle. </w:t>
      </w:r>
      <w:hyperlink r:id="rId19">
        <w:r>
          <w:rPr>
            <w:color w:val="000000"/>
            <w:sz w:val="21"/>
            <w:u w:val="none"/>
          </w:rPr>
          <w:t>Nicomachean Ethics, Book VI</w:t>
        </w:r>
      </w:hyperlink>
      <w:r>
        <w:rPr>
          <w:sz w:val="21"/>
        </w:rPr>
        <w:t>. Especially chapters 5–9 and 11. Translated by W. D. Ross. Internet Classics Archive.</w:t>
      </w:r>
    </w:p>
    <w:p>
      <w:pPr>
        <w:keepLines/>
        <w:spacing w:after="180"/>
        <w:ind w:left="331" w:hanging="331"/>
      </w:pPr>
      <w:r>
        <w:rPr>
          <w:sz w:val="21"/>
        </w:rPr>
        <w:t xml:space="preserve">12. Alexander D’Amour et al.. </w:t>
      </w:r>
      <w:hyperlink r:id="rId20">
        <w:r>
          <w:rPr>
            <w:color w:val="000000"/>
            <w:sz w:val="21"/>
            <w:u w:val="none"/>
          </w:rPr>
          <w:t>Underspecification Presents Challenges for Credibility in Modern Machine Learning</w:t>
        </w:r>
      </w:hyperlink>
      <w:r>
        <w:rPr>
          <w:sz w:val="21"/>
        </w:rPr>
        <w:t>. Journal of Machine Learning Research 23, no. 226 (2022): 1–61.</w:t>
      </w:r>
    </w:p>
    <w:p>
      <w:pPr>
        <w:keepLines/>
        <w:spacing w:after="180"/>
        <w:ind w:left="331" w:hanging="331"/>
      </w:pPr>
      <w:r>
        <w:rPr>
          <w:sz w:val="21"/>
        </w:rPr>
        <w:t xml:space="preserve">13. Plato. </w:t>
      </w:r>
      <w:hyperlink r:id="rId21">
        <w:r>
          <w:rPr>
            <w:color w:val="000000"/>
            <w:sz w:val="21"/>
            <w:u w:val="none"/>
          </w:rPr>
          <w:t>Republic, Book VI</w:t>
        </w:r>
      </w:hyperlink>
      <w:r>
        <w:rPr>
          <w:sz w:val="21"/>
        </w:rPr>
        <w:t>. 493a–c and 508b–509b. Translated by Benjamin Jowett. Internet Classics Archive.</w:t>
      </w:r>
    </w:p>
    <w:p>
      <w:pPr>
        <w:keepLines/>
        <w:spacing w:after="180"/>
        <w:ind w:left="331" w:hanging="331"/>
      </w:pPr>
      <w:r>
        <w:rPr>
          <w:sz w:val="21"/>
        </w:rPr>
        <w:t xml:space="preserve">14. Plato. </w:t>
      </w:r>
      <w:hyperlink r:id="rId22">
        <w:r>
          <w:rPr>
            <w:color w:val="000000"/>
            <w:sz w:val="21"/>
            <w:u w:val="none"/>
          </w:rPr>
          <w:t>Republic, Book VII</w:t>
        </w:r>
      </w:hyperlink>
      <w:r>
        <w:rPr>
          <w:sz w:val="21"/>
        </w:rPr>
        <w:t>. 518b–d. Translated by Benjamin Jowett. Internet Classics Archive.</w:t>
      </w:r>
    </w:p>
    <w:sectPr w:rsidR="00FC693F" w:rsidRPr="0006063C" w:rsidSect="00034616">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pStyle w:val="FootnoteText"/>
      </w:pPr>
      <w:r>
        <w:rPr>
          <w:rStyle w:val="FootnoteReference"/>
        </w:rPr>
        <w:footnoteRef/>
      </w:r>
      <w:r>
        <w:t xml:space="preserve"> </w:t>
      </w:r>
      <w:hyperlink r:id="rId1">
        <w:r>
          <w:rPr>
            <w:color w:val="000000"/>
            <w:u w:val="none"/>
          </w:rPr>
          <w:t>Azizi, “Re: An Introduction” (2026).</w:t>
        </w:r>
      </w:hyperlink>
    </w:p>
  </w:footnote>
  <w:footnote w:id="2">
    <w:p>
      <w:pPr>
        <w:pStyle w:val="FootnoteText"/>
      </w:pPr>
      <w:r>
        <w:rPr>
          <w:rStyle w:val="FootnoteReference"/>
        </w:rPr>
        <w:footnoteRef/>
      </w:r>
      <w:r>
        <w:t xml:space="preserve"> </w:t>
      </w:r>
      <w:hyperlink r:id="rId2">
        <w:r>
          <w:rPr>
            <w:color w:val="000000"/>
            <w:u w:val="none"/>
          </w:rPr>
          <w:t>Rumelhart, Hinton, and Williams, “Learning representations” (1986), 533–536.</w:t>
        </w:r>
      </w:hyperlink>
    </w:p>
  </w:footnote>
  <w:footnote w:id="3">
    <w:p>
      <w:pPr>
        <w:pStyle w:val="FootnoteText"/>
      </w:pPr>
      <w:r>
        <w:rPr>
          <w:rStyle w:val="FootnoteReference"/>
        </w:rPr>
        <w:footnoteRef/>
      </w:r>
      <w:r>
        <w:t xml:space="preserve"> </w:t>
      </w:r>
      <w:hyperlink r:id="rId3">
        <w:r>
          <w:rPr>
            <w:color w:val="000000"/>
            <w:u w:val="none"/>
          </w:rPr>
          <w:t>Scellier and Bengio, “Equilibrium Propagation” (2017), sections 2–3.</w:t>
        </w:r>
      </w:hyperlink>
    </w:p>
  </w:footnote>
  <w:footnote w:id="4">
    <w:p>
      <w:pPr>
        <w:pStyle w:val="FootnoteText"/>
      </w:pPr>
      <w:r>
        <w:rPr>
          <w:rStyle w:val="FootnoteReference"/>
        </w:rPr>
        <w:footnoteRef/>
      </w:r>
      <w:r>
        <w:t xml:space="preserve"> </w:t>
      </w:r>
      <w:hyperlink r:id="rId4">
        <w:r>
          <w:rPr>
            <w:color w:val="000000"/>
            <w:u w:val="none"/>
          </w:rPr>
          <w:t>Hinton, “The Forward-Forward Algorithm” (2022), sections 1–3.</w:t>
        </w:r>
      </w:hyperlink>
    </w:p>
  </w:footnote>
  <w:footnote w:id="5">
    <w:p>
      <w:pPr>
        <w:pStyle w:val="FootnoteText"/>
      </w:pPr>
      <w:r>
        <w:rPr>
          <w:rStyle w:val="FootnoteReference"/>
        </w:rPr>
        <w:footnoteRef/>
      </w:r>
      <w:r>
        <w:t xml:space="preserve"> </w:t>
      </w:r>
      <w:hyperlink r:id="rId5">
        <w:r>
          <w:rPr>
            <w:color w:val="000000"/>
            <w:u w:val="none"/>
          </w:rPr>
          <w:t>Stanley and Miikkulainen, “Evolving Neural Networks” (2002), sections 2–4.</w:t>
        </w:r>
      </w:hyperlink>
    </w:p>
  </w:footnote>
  <w:footnote w:id="6">
    <w:p>
      <w:pPr>
        <w:pStyle w:val="FootnoteText"/>
      </w:pPr>
      <w:r>
        <w:rPr>
          <w:rStyle w:val="FootnoteReference"/>
        </w:rPr>
        <w:footnoteRef/>
      </w:r>
      <w:r>
        <w:t xml:space="preserve"> </w:t>
      </w:r>
      <w:hyperlink r:id="rId6">
        <w:r>
          <w:rPr>
            <w:color w:val="000000"/>
            <w:u w:val="none"/>
          </w:rPr>
          <w:t>Salimans et al., “Evolution Strategies” (2017), section 2, pp. 2–3.</w:t>
        </w:r>
      </w:hyperlink>
    </w:p>
  </w:footnote>
  <w:footnote w:id="7">
    <w:p>
      <w:pPr>
        <w:pStyle w:val="FootnoteText"/>
      </w:pPr>
      <w:r>
        <w:rPr>
          <w:rStyle w:val="FootnoteReference"/>
        </w:rPr>
        <w:footnoteRef/>
      </w:r>
      <w:r>
        <w:t xml:space="preserve"> </w:t>
      </w:r>
      <w:hyperlink r:id="rId7">
        <w:r>
          <w:rPr>
            <w:color w:val="000000"/>
            <w:u w:val="none"/>
          </w:rPr>
          <w:t>Zhang et al., “Understanding deep learning” (2017), sections 2–3.</w:t>
        </w:r>
      </w:hyperlink>
    </w:p>
  </w:footnote>
  <w:footnote w:id="8">
    <w:p>
      <w:pPr>
        <w:pStyle w:val="FootnoteText"/>
      </w:pPr>
      <w:r>
        <w:rPr>
          <w:rStyle w:val="FootnoteReference"/>
        </w:rPr>
        <w:footnoteRef/>
      </w:r>
      <w:r>
        <w:t xml:space="preserve"> </w:t>
      </w:r>
      <w:hyperlink r:id="rId8">
        <w:r>
          <w:rPr>
            <w:color w:val="000000"/>
            <w:u w:val="none"/>
          </w:rPr>
          <w:t>Geirhos et al., “ImageNet-trained CNNs” (2019), sections 2–4.</w:t>
        </w:r>
      </w:hyperlink>
    </w:p>
  </w:footnote>
  <w:footnote w:id="9">
    <w:p>
      <w:pPr>
        <w:pStyle w:val="FootnoteText"/>
      </w:pPr>
      <w:r>
        <w:rPr>
          <w:rStyle w:val="FootnoteReference"/>
        </w:rPr>
        <w:footnoteRef/>
      </w:r>
      <w:r>
        <w:t xml:space="preserve"> </w:t>
      </w:r>
      <w:hyperlink r:id="rId9">
        <w:r>
          <w:rPr>
            <w:color w:val="000000"/>
            <w:u w:val="none"/>
          </w:rPr>
          <w:t>Geirhos et al., “Shortcut Learning” (2020).</w:t>
        </w:r>
      </w:hyperlink>
    </w:p>
  </w:footnote>
  <w:footnote w:id="10">
    <w:p>
      <w:pPr>
        <w:pStyle w:val="FootnoteText"/>
      </w:pPr>
      <w:r>
        <w:rPr>
          <w:rStyle w:val="FootnoteReference"/>
        </w:rPr>
        <w:footnoteRef/>
      </w:r>
      <w:r>
        <w:t xml:space="preserve"> </w:t>
      </w:r>
      <w:hyperlink r:id="rId10">
        <w:r>
          <w:rPr>
            <w:color w:val="000000"/>
            <w:u w:val="none"/>
          </w:rPr>
          <w:t>Qur’an 13:14; translation by Mustafa Khattab. The interpretation of the unfulfilled gesture is an extension developed here.</w:t>
        </w:r>
      </w:hyperlink>
    </w:p>
  </w:footnote>
  <w:footnote w:id="11">
    <w:p>
      <w:pPr>
        <w:pStyle w:val="FootnoteText"/>
      </w:pPr>
      <w:r>
        <w:rPr>
          <w:rStyle w:val="FootnoteReference"/>
        </w:rPr>
        <w:footnoteRef/>
      </w:r>
      <w:r>
        <w:t xml:space="preserve"> </w:t>
      </w:r>
      <w:hyperlink r:id="rId11">
        <w:r>
          <w:rPr>
            <w:color w:val="000000"/>
            <w:u w:val="none"/>
          </w:rPr>
          <w:t>Aristotle, Nicomachean Ethics VI.5–9, 11; trans. W. D. Ross.</w:t>
        </w:r>
      </w:hyperlink>
    </w:p>
  </w:footnote>
  <w:footnote w:id="12">
    <w:p>
      <w:pPr>
        <w:pStyle w:val="FootnoteText"/>
      </w:pPr>
      <w:r>
        <w:rPr>
          <w:rStyle w:val="FootnoteReference"/>
        </w:rPr>
        <w:footnoteRef/>
      </w:r>
      <w:r>
        <w:t xml:space="preserve"> </w:t>
      </w:r>
      <w:hyperlink r:id="rId12">
        <w:r>
          <w:rPr>
            <w:color w:val="000000"/>
            <w:u w:val="none"/>
          </w:rPr>
          <w:t>D’Amour et al., “Underspecification” (2022), abstract and introduction.</w:t>
        </w:r>
      </w:hyperlink>
    </w:p>
  </w:footnote>
  <w:footnote w:id="13">
    <w:p>
      <w:pPr>
        <w:pStyle w:val="FootnoteText"/>
      </w:pPr>
      <w:r>
        <w:rPr>
          <w:rStyle w:val="FootnoteReference"/>
        </w:rPr>
        <w:footnoteRef/>
      </w:r>
      <w:r>
        <w:t xml:space="preserve"> </w:t>
      </w:r>
      <w:hyperlink r:id="rId13">
        <w:r>
          <w:rPr>
            <w:color w:val="000000"/>
            <w:u w:val="none"/>
          </w:rPr>
          <w:t>Plato, Republic VI, 508b–509b; trans. Benjamin Jowett. Jowett renders ousia as “essence.”</w:t>
        </w:r>
      </w:hyperlink>
    </w:p>
  </w:footnote>
  <w:footnote w:id="14">
    <w:p>
      <w:pPr>
        <w:pStyle w:val="FootnoteText"/>
      </w:pPr>
      <w:r>
        <w:rPr>
          <w:rStyle w:val="FootnoteReference"/>
        </w:rPr>
        <w:footnoteRef/>
      </w:r>
      <w:r>
        <w:t xml:space="preserve"> </w:t>
      </w:r>
      <w:hyperlink r:id="rId14">
        <w:r>
          <w:rPr>
            <w:color w:val="000000"/>
            <w:u w:val="none"/>
          </w:rPr>
          <w:t>Plato, Republic VI, 493a–c; trans. Benjamin Jowett.</w:t>
        </w:r>
      </w:hyperlink>
    </w:p>
  </w:footnote>
  <w:footnote w:id="15">
    <w:p>
      <w:pPr>
        <w:pStyle w:val="FootnoteText"/>
      </w:pPr>
      <w:r>
        <w:rPr>
          <w:rStyle w:val="FootnoteReference"/>
        </w:rPr>
        <w:footnoteRef/>
      </w:r>
      <w:r>
        <w:t xml:space="preserve"> </w:t>
      </w:r>
      <w:hyperlink r:id="rId15">
        <w:r>
          <w:rPr>
            <w:color w:val="000000"/>
            <w:u w:val="none"/>
          </w:rPr>
          <w:t>Plato, Republic VII, 518b–d; trans. Benjamin Jowett.</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Cambria" w:hAnsi="Cambria"/>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40" w:line="240" w:lineRule="auto"/>
      <w:contextualSpacing/>
    </w:pPr>
    <w:rPr>
      <w:rFonts w:ascii="Cambria" w:hAnsi="Cambria"/>
      <w:b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spacing w:line="240" w:lineRule="auto" w:after="40"/>
    </w:pPr>
    <w:rPr>
      <w:rFonts w:ascii="Cambria" w:hAnsi="Cambria"/>
      <w:sz w:val="18"/>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v1d.com/2026/06/30/re-an-introduction/" TargetMode="External"/><Relationship Id="rId10" Type="http://schemas.openxmlformats.org/officeDocument/2006/relationships/hyperlink" Target="https://www.cs.toronto.edu/~hinton/absps/naturebp.pdf" TargetMode="External"/><Relationship Id="rId11" Type="http://schemas.openxmlformats.org/officeDocument/2006/relationships/hyperlink" Target="https://arxiv.org/abs/1602.05179" TargetMode="External"/><Relationship Id="rId12" Type="http://schemas.openxmlformats.org/officeDocument/2006/relationships/hyperlink" Target="https://arxiv.org/abs/2212.13345" TargetMode="External"/><Relationship Id="rId13" Type="http://schemas.openxmlformats.org/officeDocument/2006/relationships/hyperlink" Target="https://nn.cs.utexas.edu/downloads/papers/stanley.ec02.pdf" TargetMode="External"/><Relationship Id="rId14" Type="http://schemas.openxmlformats.org/officeDocument/2006/relationships/hyperlink" Target="https://arxiv.org/abs/1703.03864" TargetMode="External"/><Relationship Id="rId15" Type="http://schemas.openxmlformats.org/officeDocument/2006/relationships/hyperlink" Target="https://arxiv.org/abs/1611.03530" TargetMode="External"/><Relationship Id="rId16" Type="http://schemas.openxmlformats.org/officeDocument/2006/relationships/hyperlink" Target="https://arxiv.org/abs/1811.12231" TargetMode="External"/><Relationship Id="rId17" Type="http://schemas.openxmlformats.org/officeDocument/2006/relationships/hyperlink" Target="https://arxiv.org/abs/2004.07780" TargetMode="External"/><Relationship Id="rId18" Type="http://schemas.openxmlformats.org/officeDocument/2006/relationships/hyperlink" Target="https://quran.com/13/14" TargetMode="External"/><Relationship Id="rId19" Type="http://schemas.openxmlformats.org/officeDocument/2006/relationships/hyperlink" Target="https://classics.mit.edu/Aristotle/nicomachaen.6.vi.html" TargetMode="External"/><Relationship Id="rId20" Type="http://schemas.openxmlformats.org/officeDocument/2006/relationships/hyperlink" Target="https://jmlr.org/papers/v23/20-1335.html" TargetMode="External"/><Relationship Id="rId21" Type="http://schemas.openxmlformats.org/officeDocument/2006/relationships/hyperlink" Target="https://classics.mit.edu/Plato/republic.7.vi.html" TargetMode="External"/><Relationship Id="rId22" Type="http://schemas.openxmlformats.org/officeDocument/2006/relationships/hyperlink" Target="https://classics.mit.edu/Plato/republic.8.vii.html" TargetMode="External"/><Relationship Id="rIdEssayFootnotes"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ov1d.com/2026/06/30/re-an-introduction/" TargetMode="External"/><Relationship Id="rId2" Type="http://schemas.openxmlformats.org/officeDocument/2006/relationships/hyperlink" Target="https://www.cs.toronto.edu/~hinton/absps/naturebp.pdf" TargetMode="External"/><Relationship Id="rId3" Type="http://schemas.openxmlformats.org/officeDocument/2006/relationships/hyperlink" Target="https://arxiv.org/abs/1602.05179" TargetMode="External"/><Relationship Id="rId4" Type="http://schemas.openxmlformats.org/officeDocument/2006/relationships/hyperlink" Target="https://arxiv.org/abs/2212.13345" TargetMode="External"/><Relationship Id="rId5" Type="http://schemas.openxmlformats.org/officeDocument/2006/relationships/hyperlink" Target="https://nn.cs.utexas.edu/downloads/papers/stanley.ec02.pdf" TargetMode="External"/><Relationship Id="rId6" Type="http://schemas.openxmlformats.org/officeDocument/2006/relationships/hyperlink" Target="https://arxiv.org/abs/1703.03864" TargetMode="External"/><Relationship Id="rId7" Type="http://schemas.openxmlformats.org/officeDocument/2006/relationships/hyperlink" Target="https://arxiv.org/abs/1611.03530" TargetMode="External"/><Relationship Id="rId8" Type="http://schemas.openxmlformats.org/officeDocument/2006/relationships/hyperlink" Target="https://arxiv.org/abs/1811.12231" TargetMode="External"/><Relationship Id="rId9" Type="http://schemas.openxmlformats.org/officeDocument/2006/relationships/hyperlink" Target="https://arxiv.org/abs/2004.07780" TargetMode="External"/><Relationship Id="rId10" Type="http://schemas.openxmlformats.org/officeDocument/2006/relationships/hyperlink" Target="https://quran.com/13/14" TargetMode="External"/><Relationship Id="rId11" Type="http://schemas.openxmlformats.org/officeDocument/2006/relationships/hyperlink" Target="https://classics.mit.edu/Aristotle/nicomachaen.6.vi.html" TargetMode="External"/><Relationship Id="rId12" Type="http://schemas.openxmlformats.org/officeDocument/2006/relationships/hyperlink" Target="https://jmlr.org/papers/v23/20-1335.html" TargetMode="External"/><Relationship Id="rId13" Type="http://schemas.openxmlformats.org/officeDocument/2006/relationships/hyperlink" Target="https://classics.mit.edu/Plato/republic.7.vi.html" TargetMode="External"/><Relationship Id="rId14" Type="http://schemas.openxmlformats.org/officeDocument/2006/relationships/hyperlink" Target="https://classics.mit.edu/Plato/republic.7.vi.html" TargetMode="External"/><Relationship Id="rId15" Type="http://schemas.openxmlformats.org/officeDocument/2006/relationships/hyperlink" Target="https://classics.mit.edu/Plato/republic.8.vi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and the Formation of Response</dc:title>
  <dc:subject>Neural-network learning, invocation, adequacy, and the Good beyond being</dc:subject>
  <dc:creator>Mostafa Azizi</dc:creator>
  <cp:keywords>response, learning, backpropagation, neuroevolution, nous, Plato</cp:keywords>
  <dc:description>generated by python-docx</dc:description>
  <cp:lastModifiedBy/>
  <cp:revision>1</cp:revision>
  <dcterms:created xsi:type="dcterms:W3CDTF">2013-12-23T23:15:00Z</dcterms:created>
  <dcterms:modified xsi:type="dcterms:W3CDTF">2013-12-23T23:15:00Z</dcterms:modified>
  <cp:category/>
</cp:coreProperties>
</file>