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Neural Networks and the Formation of Response</w:t>
      </w:r>
    </w:p>
    <w:p>
      <w:pPr>
        <w:spacing w:after="360"/>
      </w:pPr>
      <w:r>
        <w:t>Mostafa Azizi</w:t>
      </w:r>
    </w:p>
    <w:p>
      <w:r>
        <w:t>A neural network can produce an answer without settling the question of what makes an answer adequate. Its training explains how a capacity to respond has been formed. Its operations explain how that capacity is exercised in a particular exchange. Yet an account of production leaves something to be judged: whether the response understands what was asked and does justice to the matter under discussion. This distinction becomes clearer if we imagine that we have built a robotic dance partner. We can explain its movements and improve its coordination with us. The question of the music remains. What are we dancing to, and what makes a movement fit?</w:t>
      </w:r>
    </w:p>
    <w:p>
      <w:r>
        <w:t>The problem begins within the apparently straightforward concept of a loss function. A loss assigns a numerical value to performance according to a specified criterion. In supervised training, that criterion can measure a discrepancy between the network’s output and a target. Backpropagation calculates how the loss changes with respect to the network’s parameters; an optimizer uses this information to adjust them. The procedure makes improvement actionable. It does not independently establish that the criterion captures everything we mean by a better answer. That judgment enters through the design of the task, the examples, and the methods of evaluation (Rumelhart, Hinton, and Williams 1986).</w:t>
      </w:r>
    </w:p>
    <w:p>
      <w:r>
        <w:t>Gradient descent invites the image of falling downhill. The weights locate the network within a landscape of possible parameter settings, and the loss supplies the height. Moving downhill means changing the weights so as to reduce the measured error. This is a mathematical analogy rather than a gravitational process. It also leaves the internal relations of the network difficult to picture. A spine or ribcage offers another image: the contribution of a part depends on its place within an arrangement. Changing one relation can change the effects of others. The network’s adjustment concerns the joint production of an outcome.</w:t>
      </w:r>
    </w:p>
    <w:p>
      <w:r>
        <w:t>We might therefore say that the weights “police the relations.” They are numerical parameters that regulate how signals contribute to subsequent activity. Their effects depend on the architecture, the input, and other parameters. They acquire no intention by being described this way. The phrase identifies a constraint on what can influence what. During ordinary language-model inference, those parameters generally remain fixed, while the activity computed through them changes. Responding changes an internal state; training changes the parameters through which such states are produced. A model can thus respond differently to different questions without relearning its weights for each one.</w:t>
      </w:r>
    </w:p>
    <w:p>
      <w:r>
        <w:t>This distinction gives the weights a historical significance. Their present values bear effects of training that is no longer occurring. They are not a transparent archive from which every earlier encounter can be recovered, but neither are they a blank beginning. A trained capacity can operate without repeating the process that formed it. Access to particular past conversations is a separate matter: such material must be supplied in context or made available through a memory or retrieval mechanism. The persistence of a learned capacity and the availability of a remembered exchange should not be confused.</w:t>
      </w:r>
    </w:p>
    <w:p>
      <w:r>
        <w:t>Darwin’s tangled bank gives this relation between present activity and past formation a particularly rich expression. Plants, birds, insects, and worms appear together in a scene whose visible life depends on histories of reproduction, inheritance, variation, and selection. Their current relations are inseparable from the processes through which they became possible. Darwin’s further proposal that classifications should become genealogies makes the historical demand explicit. To understand a form, we must ask what has persisted and changed in its descent. Rudimentary organs become evidence of structures no longer present (Darwin 1859, chapter XIV).</w:t>
      </w:r>
    </w:p>
    <w:p>
      <w:r>
        <w:t>The analogy with weights concerns this efficacy of formation. A network’s present arrangement carries consequences of earlier adjustments, just as a living form can bear consequences of its descent. The mechanisms differ: backpropagation is not natural selection, and biological inheritance is not the updating of numerical parameters. Natural selection also supplies no general measure of intellectual or moral betterment. Nevertheless, Darwin helps us ask a productive question about the network: what history is operating through the capacity now being exercised? A response is a present event with conditions that extend beyond the present exchange.</w:t>
      </w:r>
    </w:p>
    <w:p>
      <w:r>
        <w:t>We can call one aspect of this relation operative absence. Something no longer present continues to make a difference through what it has formed. The term becomes more difficult, and more interesting, when applied to the answer itself. The answer has not yet been produced. It cannot be acting as a finished sentence concealed somewhere outside the model. What is already effective is a demand for an answer, expressed through the question and the circumstances in which it is asked. Within the machine, that demand has to take a concrete form in inputs and computations. Operative absence is offered here as a philosophical interpretation of the relation, not as an additional force within the mechanism.</w:t>
      </w:r>
    </w:p>
    <w:p>
      <w:r>
        <w:t>The difference between these two absences must be preserved. Past training has occurred and left effects. A forthcoming answer has not occurred. Its anticipation becomes possible through an existing question, learned expectations, and judgments about what would count as satisfying the request. We encounter this distinction whenever we recognize that an answer misses our question before we can supply a better answer ourselves. We need not possess the solution to recognize an evasion. The demand can guide correction while its adequate expression remains to be found.</w:t>
      </w:r>
    </w:p>
    <w:p>
      <w:r>
        <w:t>At this point, the idea of a pure question awaiting a pure answer becomes doubtful. A question is articulated in an inherited language, from a situation, through capacities already formed. An answer enters that history and can alter the question’s meaning for the person who asked it. This is the force of bringing genesis and structure together: the current arrangement bears a history, while that history is intelligible through relations that cannot simply be set aside. Derrida’s critique of the pure origin challenges an absolutely self-sufficient beginning, untouched by the differences through which it becomes identifiable. It does not prevent us from investigating particular beginnings or tracing their consequences (Derrida 1978).</w:t>
      </w:r>
    </w:p>
    <w:p>
      <w:r>
        <w:t>The human participant belongs within this account of formation. We do not approach the network from outside history, holding a complete meaning that it need only copy. Our ability to ask and judge develops through language, practice, and relations with others. Heidegger’s account of Dasein gives this involvement an existential form: Dasein is a being for whom its own being is at issue. Its understanding is exercised within a world in which it is already involved (Heidegger 1962, §§4, 12). This does not mean that human beings freely manufacture their own constitution. It means that questioning belongs to a way of existing whose conditions it has not wholly chosen.</w:t>
      </w:r>
    </w:p>
    <w:p>
      <w:r>
        <w:t>Plato’s Phaedrus brings the question back to the relation between a formed discourse and its capacity to answer. Socrates first describes a discourse as resembling a living creature, with parts fitted to one another and to the whole. Later, following the story of Theuth and King Thamus, he compares writing to painting: its figures appear alive, yet they cannot answer when questioned. These are distinct passages, joined by the problem of an apparent life in discourse. A language model complicates the latter comparison because written language now answers back. Its ability to vary the answer, however, does not by itself establish that it understands the question (Plato, Phaedrus 264c, 274c–275e).</w:t>
      </w:r>
    </w:p>
    <w:p>
      <w:r>
        <w:t>The robotic dance partner gives this problem a contemporary form. A machine might become highly proficient at following our movements. We might reward its timing and responsiveness, and it might learn to satisfy those judgments. But the person it follows also learned to dance. The encounter therefore involves two histories of formation and a setting in which some movements count as fitting. The music names what our attention to coordination can leave unexamined. It asks what the partners are responsive to beyond their success at adjusting to one another.</w:t>
      </w:r>
    </w:p>
    <w:p>
      <w:r>
        <w:t>The analogy does not require a finished score existing before every performance. Music can be inherited, improvised, and transformed through the dance itself. Its history does not make every movement equally fitting. In the same way, abandoning a pure origin need not abolish the distinction between understanding and misunderstanding. Two people can agree about a passage and still misread it. A model and its user can reinforce one another’s preferred description while overlooking what the description was supposed to explain. Their agreement is an event within the inquiry; it cannot, by itself, settle the inquiry.</w:t>
      </w:r>
    </w:p>
    <w:p>
      <w:r>
        <w:t>A loss function is one way of making aspects of this demand measurable. It allows the arrangement to be corrected according to something more definite than a general wish for improvement. Yet the measure remains accountable to the purpose for which it was introduced. We can explain why an answer receives a high score and still ask whether the score rewards what matters. The difference between the production of an answer and its adequacy persists even when the production becomes extraordinarily successful. It is the difference between explaining how someone learned arithmetic and establishing whether a particular calculation is right.</w:t>
      </w:r>
    </w:p>
    <w:p>
      <w:r>
        <w:t>The music is therefore a question about the conditions of answering well. Calling it metaphysical does not make it disappear, and the mechanism alone does not decide its ultimate nature. What the exchange can do is bring us into a more attentive relation with the matter at hand. A correction may expose an assumption, a passage may resist our reading, or an example may require a different formulation. Neither partner needs to possess the final answer for this work to proceed. The demand for it can already be effective. We have built a partner capable of responding; the continuing task is to understand what makes our responses worthy of what calls for them.</w:t>
      </w:r>
    </w:p>
    <w:p>
      <w:r>
        <w:br w:type="page"/>
      </w:r>
    </w:p>
    <w:p>
      <w:pPr>
        <w:spacing w:after="280"/>
      </w:pPr>
      <w:r>
        <w:t>References</w:t>
      </w:r>
    </w:p>
    <w:p>
      <w:pPr>
        <w:spacing w:after="240"/>
      </w:pPr>
      <w:r>
        <w:t>Darwin, Charles. 1859. On the Origin of Species. London: John Murray. Chapter XIV, especially the concluding discussion of genealogical classification and the tangled bank.</w:t>
      </w:r>
    </w:p>
    <w:p>
      <w:pPr>
        <w:spacing w:after="240"/>
      </w:pPr>
      <w:r>
        <w:t>Derrida, Jacques. 1978. Writing and Difference. Translated by Alan Bass. Chicago: University of Chicago Press. Especially “‘Genesis and Structure’ and Phenomenology” and “Structure, Sign, and Play in the Discourse of the Human Sciences.”</w:t>
      </w:r>
    </w:p>
    <w:p>
      <w:pPr>
        <w:spacing w:after="240"/>
      </w:pPr>
      <w:r>
        <w:t>Heidegger, Martin. 1962. Being and Time. Translated by John Macquarrie and Edward Robinson. Oxford: Basil Blackwell. §§4 and 12.</w:t>
      </w:r>
    </w:p>
    <w:p>
      <w:pPr>
        <w:spacing w:after="240"/>
      </w:pPr>
      <w:r>
        <w:t>Plato. Phaedrus. Translated by Benjamin Jowett. Especially 264c and 274c–275e.</w:t>
      </w:r>
      <w:r>
        <w:t xml:space="preserve"> </w:t>
      </w:r>
      <w:hyperlink r:id="rId9">
        <w:r>
          <w:t>Source</w:t>
        </w:r>
      </w:hyperlink>
    </w:p>
    <w:p>
      <w:pPr>
        <w:spacing w:after="240"/>
      </w:pPr>
      <w:r>
        <w:t>Rumelhart, David E., Geoffrey E. Hinton, and Ronald J. Williams. 1986. “Learning Representations by Back-Propagating Errors.” Nature 323: 533–536.</w:t>
      </w:r>
      <w:r>
        <w:t xml:space="preserve"> </w:t>
      </w:r>
      <w:hyperlink r:id="rId10">
        <w:r>
          <w:t>Source</w:t>
        </w:r>
      </w:hyperlink>
    </w:p>
    <w:sectPr w:rsidR="00FC693F" w:rsidRPr="0006063C" w:rsidSect="00034616">
      <w:footerReference w:type="default" r:id="rId11"/>
      <w:pgSz w:w="12240" w:h="15840"/>
      <w:pgMar w:top="1224" w:right="1440" w:bottom="12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60"/>
    </w:pPr>
    <w:rPr>
      <w:rFonts w:ascii="Georgia" w:hAnsi="Georg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Georgia" w:hAnsi="Georgia"/>
      <w:b w:val="0"/>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aculty.georgetown.edu/jod/texts/phaedrus.html" TargetMode="External"/><Relationship Id="rId10" Type="http://schemas.openxmlformats.org/officeDocument/2006/relationships/hyperlink" Target="https://doi.org/10.1038/323533a0"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Neural Networks and the Formation of Response</dc:title>
  <dc:subject>Weights, genealogy, operative absence, and the adequacy of response</dc:subject>
  <dc:creator>Mostafa Azizi</dc:creator>
  <cp:keywords/>
  <dc:description>generated by python-docx</dc:description>
  <cp:lastModifiedBy/>
  <cp:revision>1</cp:revision>
  <dcterms:created xsi:type="dcterms:W3CDTF">2013-12-23T23:15:00Z</dcterms:created>
  <dcterms:modified xsi:type="dcterms:W3CDTF">2013-12-23T23:15:00Z</dcterms:modified>
  <cp:category/>
</cp:coreProperties>
</file>