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Secularity and Indiscriminate Help</w:t>
      </w:r>
    </w:p>
    <w:p>
      <w:pPr>
        <w:spacing w:after="140"/>
      </w:pPr>
      <w:r>
        <w:t>Thomas Paine and the Federalist Papers</w:t>
      </w:r>
    </w:p>
    <w:p>
      <w:pPr>
        <w:spacing w:after="400"/>
      </w:pPr>
      <w:r>
        <w:t>Mostafa Azizi</w:t>
      </w:r>
    </w:p>
    <w:p>
      <w:r>
        <w:t>Secularity can be understood as a way of establishing assistance that remains available across differences of belief. Its ethical significance, on this account, lies in protecting the person who needs help from the requirement to profess agreement with whoever provides it. A public institution can serve people who disagree about God, authority, and the purpose of life because their standing before it does not depend on resolving those disagreements. This paper develops that proposition through Thomas Paine’s Agrarian Justice and James Madison’s arguments concerning conscience and constitutional government. Their writings supply different parts of an argument for making assistance a secure entitlement. The relationship developed here is a philosophical reconstruction, rather than a claim that these authors jointly devised a system of secular welfare.</w:t>
      </w:r>
    </w:p>
    <w:p>
      <w:r>
        <w:t>The word indiscriminate needs care. Impartial assistance still requires judgment about circumstances. A person facing an immediate danger may have a stronger claim on available resources than someone whose need can wait. Equal standing therefore permits differentiated provision. What it excludes is the use of religious allegiance, political loyalty, or personal favor as a substitute for assessing the relevant claim. The guiding question is whether a difference between applicants actually bears on the purpose of assistance. A difference in medical urgency can matter to treatment; a difference in worship does not, by itself, explain why one person should receive less care.</w:t>
      </w:r>
    </w:p>
    <w:p>
      <w:r>
        <w:t>This definition also leaves room for religious motivation. Someone may establish a service because faith requires attention to the stranger. The service can honor that conviction by allowing the stranger to remain a stranger in belief. Motivation and eligibility belong to different questions: why a provider acts does not necessarily determine what a recipient must believe. Secularity, as used here, describes an institutional arrangement through which people can receive what is due to them without submitting their conscience to those who administer it. It makes no general claim that religious people or organizations are less capable of generosity.</w:t>
      </w:r>
    </w:p>
    <w:p>
      <w:r>
        <w:t xml:space="preserve">The historical sequence matters. Paine’s Common Sense appeared in 1776 and helped advance American independence. Hamilton, Madison, and Jay subsequently wrote the Federalist Papers in 1787–1788 to defend ratification of the Constitution. Agrarian Justice, published in 1797, belongs to Paine’s later development of social provision. It cannot have supplied the program that the earlier Federalist essays were advocating. Paine’s political thought also crossed the American, British, and French revolutionary settings; treating his work as an appendix to American constitutional design would obscure that wider setting. </w:t>
      </w:r>
      <w:hyperlink r:id="rId9">
        <w:r>
          <w:rPr>
            <w:color w:val="000000"/>
          </w:rPr>
          <w:t>(Philp 2025, sections 1 and 2.)</w:t>
        </w:r>
      </w:hyperlink>
    </w:p>
    <w:p>
      <w:r>
        <w:t xml:space="preserve">Agrarian Justice distinguishes the earth from the improvements made to it. Cultivation can establish a claim to created value without extinguishing humanity’s original inheritance. Paine proposes a national fund, financed through levies on property passing at death, to pay fifteen pounds at age twenty-one and ten pounds annually from age fifty. Rich and poor would qualify alike; universality recognizes the common right and avoids stigmatizing recipients. His English preface challenges a bishop’s attribution of wealth and poverty to divine ordering and presents doing good as the substance of practical religion. The governing demand is “not charity but a right.” </w:t>
      </w:r>
      <w:hyperlink r:id="rId10">
        <w:r>
          <w:rPr>
            <w:color w:val="000000"/>
          </w:rPr>
          <w:t>(Paine 1797, English preface and the proposed fund.)</w:t>
        </w:r>
      </w:hyperlink>
    </w:p>
    <w:p>
      <w:r>
        <w:t xml:space="preserve">The relationship between ownership and obligation is central to the interpretation. Robert Lamb argues that Paine’s defense of private ownership contains an egalitarian commitment to redistribution within its own logic. This reading makes the requirement to share resources part of the justification of property itself. It need not arrive as an external appeal to generosity after ownership has already been treated as absolute. The philosophical issue concerns the terms on which exclusive possession can be legitimate in a world to which others also have claims. </w:t>
      </w:r>
      <w:hyperlink r:id="rId11">
        <w:r>
          <w:rPr>
            <w:color w:val="000000"/>
          </w:rPr>
          <w:t>(Lamb 2010, 483–511.)</w:t>
        </w:r>
      </w:hyperlink>
    </w:p>
    <w:p>
      <w:r>
        <w:t>That distinction changes the encounter between an institution and an applicant. If assistance is wholly discretionary, the applicant must hope that the decision maker will be moved. A recognized entitlement establishes a reason to provide assistance even when sympathy is absent. Gratitude may accompany receipt, but it cannot become the price of access without altering the relationship. The person can receive help while disagreeing with the provider, criticizing its administration, or declining its invitation to join a community. Independence of judgment becomes part of what adequate provision should preserve.</w:t>
      </w:r>
    </w:p>
    <w:p>
      <w:r>
        <w:t xml:space="preserve">Paine’s religious position helps explain why this argument cannot be reduced to a simple opposition between faith and secularity. As Mark Philp emphasizes, The Age of Reason advances deism: Paine affirms a Creator while disputing the authority of revealed religion and its institutions. His account of rights can therefore invoke creation without entrusting a church with control over their distribution. A theological justification and a nonsectarian administration can coexist, although the latter must protect people who reject the former. </w:t>
      </w:r>
      <w:hyperlink r:id="rId9">
        <w:r>
          <w:rPr>
            <w:color w:val="000000"/>
          </w:rPr>
          <w:t>(Philp 2025, sections 2.6 and 3.)</w:t>
        </w:r>
      </w:hyperlink>
    </w:p>
    <w:p>
      <w:r>
        <w:t>The implication developed here is that disagreement about the source of an obligation need not suspend its performance. One person may understand assistance as obedience to God, another as an implication of equal moral standing, and another as a requirement of reciprocal social life. They need not reconcile those accounts before arranging a service open to all eligible recipients. Such an arrangement has moral content: it commits its participants to honoring claims across disagreement. Its secularity concerns the conditions of access, rather than an absence of conviction among those who support it.</w:t>
      </w:r>
    </w:p>
    <w:p>
      <w:r>
        <w:t xml:space="preserve">Madison’s Memorial and Remonstrance against Religious Assessments offers a direct bridge to the constitutional discussion. Written in 1785 against a Virginia proposal to support teachers of Christianity, it argues that religious conviction lies beyond the authority delegated to civil government. Madison grounds this limit partly in the priority of duty to the Creator. He also insists that believers must recognize the freedom of those unconvinced by their faith and warns that a majority can violate minority rights. The argument combines religious obligation with a restriction on religious coercion. </w:t>
      </w:r>
      <w:hyperlink r:id="rId12">
        <w:r>
          <w:rPr>
            <w:color w:val="000000"/>
          </w:rPr>
          <w:t>(Madison 1785, paragraphs 1–5.)</w:t>
        </w:r>
      </w:hyperlink>
    </w:p>
    <w:p>
      <w:r>
        <w:t>Read in relation to assistance, this restriction raises a further problem. Freedom of conscience can be compromised through dependence as well as direct command. Consider a person whose access to food is made conditional on affirming the provider’s beliefs. A formal freedom to refuse remains, but refusal now carries a cost imposed through control of necessities. This example is an extension of the present argument, not a policy addressed in the Memorial. It shows why protecting conscience may require attention to the terms on which material support is offered. A service should not use vulnerability to obtain an assent that conviction has not produced.</w:t>
      </w:r>
    </w:p>
    <w:p>
      <w:r>
        <w:t xml:space="preserve">Federalist No. 10 examines how free government can limit faction without destroying liberty. Madison includes religious differences among the causes of division and identifies unequal property distribution as a persistent source of conflict. An extended republic can make it harder for a faction to command an oppressive majority. His discussion also protects the differing faculties through which people acquire property and treats schemes for an equal division of property as a danger. These commitments prevent an easy identification of his argument with Paine’s later proposal, although Paine likewise preserves ownership of improvements. </w:t>
      </w:r>
      <w:hyperlink r:id="rId13">
        <w:r>
          <w:rPr>
            <w:color w:val="000000"/>
          </w:rPr>
          <w:t>(Madison 1787.)</w:t>
        </w:r>
      </w:hyperlink>
    </w:p>
    <w:p>
      <w:r>
        <w:t xml:space="preserve">Federalist No. 51 joins minority protection to the organization of power. Madison argues that government needs internal restraints because its officers cannot be assumed to act virtuously. He then connects security for civil and religious rights to a multiplicity of interests and sects. A sufficiently diverse republic should make unjust majority combinations less likely. This is an argument about the conditions under which rights can remain secure; it does not establish a right to a particular benefit. Madison’s statement that “Justice is the end of government” supplies the purpose against which the institutional design must be judged. </w:t>
      </w:r>
      <w:hyperlink r:id="rId14">
        <w:r>
          <w:rPr>
            <w:color w:val="000000"/>
          </w:rPr>
          <w:t>(Madison 1788.)</w:t>
        </w:r>
      </w:hyperlink>
    </w:p>
    <w:p>
      <w:r>
        <w:t>The relevant connection is institutional durability. Assistance that depends entirely on a sympathetic administrator remains vulnerable to succession. A replacement may dislike the same applicants, favor another community, or demand a new demonstration of loyalty. The philosophical lesson we can draw from constitutional restraint is that a public commitment needs arrangements capable of outlasting changes of personnel. For assistance, this suggests stated eligibility rules, reasons for adverse decisions, and a means to challenge arbitrary exclusion. These are proposed implications of the argument developed here, rather than provisions extracted from the Federalist Papers.</w:t>
      </w:r>
    </w:p>
    <w:p>
      <w:r>
        <w:t xml:space="preserve">The constitutional texts also require precise treatment. Article VI prohibits a religious test for federal office or public trust. The First Amendment, ratified in 1791, restricts Congress concerning religious establishment and free exercise. Neither provision creates Paine’s fund or specifies a general entitlement to subsistence. They supply distinct protections against religious conditions on public authority and interference with religious freedom. The later amendment should not be presented as part of the original text defended in 1787–1788. </w:t>
      </w:r>
      <w:hyperlink r:id="rId15">
        <w:r>
          <w:rPr>
            <w:color w:val="000000"/>
          </w:rPr>
          <w:t>(United States Constitution, article VI; Bill of Rights, amendment I.)</w:t>
        </w:r>
      </w:hyperlink>
    </w:p>
    <w:p>
      <w:r>
        <w:t xml:space="preserve">Nor should the founding order be treated as a completed realization of universal standing. The original Constitution accommodated slavery through its provisions on representation, the slave trade, and the return of persons held to service. Those arrangements limit any claim that the founding institutions already protected everyone impartially. An argument for indiscriminate help must retain the ability to judge inherited institutions against their exclusions. The authority of a constitutional tradition cannot settle whether all those subject to it have actually received the protection its principles appear to promise. </w:t>
      </w:r>
      <w:hyperlink r:id="rId15">
        <w:r>
          <w:rPr>
            <w:color w:val="000000"/>
          </w:rPr>
          <w:t>(United States Constitution, article I, sections 2 and 9, and article IV, section 2.)</w:t>
        </w:r>
      </w:hyperlink>
    </w:p>
    <w:p>
      <w:r>
        <w:t>Two independent requirements now emerge. Public power must be constrained so that it cannot simply serve a dominant group, and material provision must have a defensible account of what people are owed. Satisfying either requirement leaves the other open. A government can refrain from religious discrimination while providing too little assistance to protect people from destitution. A generous program can distribute substantial resources while using its administration to pressure recipients into conformity. The proposed conception of secularity evaluates both the availability of assistance and the freedom maintained in receiving it.</w:t>
      </w:r>
    </w:p>
    <w:p>
      <w:r>
        <w:t>This also explains why universal eligibility and adequacy should be evaluated separately. A uniform payment can acknowledge equal standing while remaining insufficient for someone with unusually extensive needs. Conversely, a service directed toward a particular vulnerability can be impartial if the criterion genuinely follows from the service’s purpose and is applied fairly. Indiscriminate help therefore does not prescribe identical provision in every circumstance. It requires a justification for distinctions and denies that a person’s disagreement, by itself, diminishes the underlying claim. The amount, form, and timing of assistance remain matters for reasoned judgment.</w:t>
      </w:r>
    </w:p>
    <w:p>
      <w:r>
        <w:t>A further difficulty concerns the boundaries of the public itself. Calling a benefit universal does not answer whether it reaches everyone affected by the institutions that fund and administer it. Any account that begins with shared human standing must confront exclusions justified through narrower membership. Practical responsibilities may be allocated among institutions, but such allocation needs an explanation; it cannot silently turn the absence of affiliation into the absence of a claim. This remains an unresolved task for the argument, especially wherever people depend on institutions in whose decisions they have little voice.</w:t>
      </w:r>
    </w:p>
    <w:p>
      <w:r>
        <w:t>Secularity understood through indiscriminate help is therefore a commitment to preserving another person’s standing across disagreement. It allows conviction to motivate provision while preventing conviction from becoming an admission requirement. The test is concrete: can someone receive the assistance to which they are entitled while remaining free to refuse the beliefs of those who provide it? An institution fulfills this commitment when that refusal leaves the person’s valid claim intact.</w:t>
      </w:r>
    </w:p>
    <w:p>
      <w:r>
        <w:br w:type="page"/>
      </w:r>
    </w:p>
    <w:p>
      <w:pPr>
        <w:spacing w:after="320"/>
      </w:pPr>
      <w:r>
        <w:t>References</w:t>
      </w:r>
    </w:p>
    <w:p>
      <w:pPr>
        <w:spacing w:after="240"/>
      </w:pPr>
      <w:hyperlink r:id="rId11">
        <w:r>
          <w:rPr>
            <w:color w:val="000000"/>
          </w:rPr>
          <w:t>Lamb, Robert. 2010. “Liberty, Equality, and the Boundaries of Ownership: Thomas Paine’s Theory of Property Rights.” The Review of Politics 72 (3): 483–511.</w:t>
        </w:r>
      </w:hyperlink>
    </w:p>
    <w:p>
      <w:pPr>
        <w:spacing w:after="240"/>
      </w:pPr>
      <w:hyperlink r:id="rId12">
        <w:r>
          <w:rPr>
            <w:color w:val="000000"/>
          </w:rPr>
          <w:t>Madison, James. 1785. “Memorial and Remonstrance against Religious Assessments.” June 20. The Founders’ Constitution, University of Chicago Press.</w:t>
        </w:r>
      </w:hyperlink>
    </w:p>
    <w:p>
      <w:pPr>
        <w:spacing w:after="240"/>
      </w:pPr>
      <w:hyperlink r:id="rId13">
        <w:r>
          <w:rPr>
            <w:color w:val="000000"/>
          </w:rPr>
          <w:t>Madison, James. 1787. Federalist No. 10. November 23. The Avalon Project, Yale Law School.</w:t>
        </w:r>
      </w:hyperlink>
    </w:p>
    <w:p>
      <w:pPr>
        <w:spacing w:after="240"/>
      </w:pPr>
      <w:hyperlink r:id="rId14">
        <w:r>
          <w:rPr>
            <w:color w:val="000000"/>
          </w:rPr>
          <w:t>Madison, James. 1788. Federalist No. 51. February 8. The Avalon Project, Yale Law School.</w:t>
        </w:r>
      </w:hyperlink>
    </w:p>
    <w:p>
      <w:pPr>
        <w:spacing w:after="240"/>
      </w:pPr>
      <w:hyperlink r:id="rId10">
        <w:r>
          <w:rPr>
            <w:color w:val="000000"/>
          </w:rPr>
          <w:t>Paine, Thomas. 1797. Agrarian Justice. Full text reproduced by the Social Security Administration in its historical collection.</w:t>
        </w:r>
      </w:hyperlink>
    </w:p>
    <w:p>
      <w:pPr>
        <w:spacing w:after="240"/>
      </w:pPr>
      <w:hyperlink r:id="rId9">
        <w:r>
          <w:rPr>
            <w:color w:val="000000"/>
          </w:rPr>
          <w:t>Philp, Mark. 2025. “Thomas Paine.” Stanford Encyclopedia of Philosophy. Substantive revision August 27, 2025.</w:t>
        </w:r>
      </w:hyperlink>
    </w:p>
    <w:p>
      <w:pPr>
        <w:spacing w:after="240"/>
      </w:pPr>
      <w:hyperlink r:id="rId15">
        <w:r>
          <w:rPr>
            <w:color w:val="000000"/>
          </w:rPr>
          <w:t>United States. 1787. Constitution of the United States. National Archives transcription.</w:t>
        </w:r>
      </w:hyperlink>
    </w:p>
    <w:p>
      <w:pPr>
        <w:spacing w:after="240"/>
      </w:pPr>
      <w:hyperlink r:id="rId16">
        <w:r>
          <w:rPr>
            <w:color w:val="000000"/>
          </w:rPr>
          <w:t>United States. 1791. Bill of Rights. National Archives transcription.</w:t>
        </w:r>
      </w:hyperlink>
    </w:p>
    <w:sectPr w:rsidR="00FC693F" w:rsidRPr="0006063C" w:rsidSect="00034616">
      <w:footerReference w:type="default" r:id="rId17"/>
      <w:pgSz w:w="12240" w:h="15840"/>
      <w:pgMar w:top="1224" w:right="1440" w:bottom="1224"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pPr>
    <w:rPr>
      <w:rFonts w:ascii="Times New Roman" w:hAnsi="Times New Roman"/>
      <w:b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pPr>
  </w:style>
  <w:style w:type="paragraph" w:styleId="List2">
    <w:name w:val="List 2"/>
    <w:basedOn w:val="Normal"/>
    <w:uiPriority w:val="99"/>
    <w:unhideWhenUsed/>
    <w:rsid w:val="00326F90"/>
    <w:pPr>
      <w:ind w:left="720" w:hanging="360"/>
    </w:pPr>
  </w:style>
  <w:style w:type="paragraph" w:styleId="List3">
    <w:name w:val="List 3"/>
    <w:basedOn w:val="Normal"/>
    <w:uiPriority w:val="99"/>
    <w:unhideWhenUsed/>
    <w:rsid w:val="00326F90"/>
    <w:pPr>
      <w:ind w:left="1080" w:hanging="360"/>
    </w:pPr>
  </w:style>
  <w:style w:type="paragraph" w:styleId="ListBullet">
    <w:name w:val="List Bullet"/>
    <w:basedOn w:val="Normal"/>
    <w:uiPriority w:val="99"/>
    <w:unhideWhenUsed/>
    <w:rsid w:val="00326F90"/>
    <w:pPr>
      <w:numPr>
        <w:numId w:val="1"/>
      </w:numPr>
    </w:pPr>
  </w:style>
  <w:style w:type="paragraph" w:styleId="ListBullet2">
    <w:name w:val="List Bullet 2"/>
    <w:basedOn w:val="Normal"/>
    <w:uiPriority w:val="99"/>
    <w:unhideWhenUsed/>
    <w:rsid w:val="00326F90"/>
    <w:pPr>
      <w:numPr>
        <w:numId w:val="2"/>
      </w:numPr>
    </w:pPr>
  </w:style>
  <w:style w:type="paragraph" w:styleId="ListBullet3">
    <w:name w:val="List Bullet 3"/>
    <w:basedOn w:val="Normal"/>
    <w:uiPriority w:val="99"/>
    <w:unhideWhenUsed/>
    <w:rsid w:val="00326F90"/>
    <w:pPr>
      <w:numPr>
        <w:numId w:val="3"/>
      </w:numPr>
    </w:pPr>
  </w:style>
  <w:style w:type="paragraph" w:styleId="ListNumber">
    <w:name w:val="List Number"/>
    <w:basedOn w:val="Normal"/>
    <w:uiPriority w:val="99"/>
    <w:unhideWhenUsed/>
    <w:rsid w:val="00326F90"/>
    <w:pPr>
      <w:numPr>
        <w:numId w:val="5"/>
      </w:numPr>
    </w:pPr>
  </w:style>
  <w:style w:type="paragraph" w:styleId="ListNumber2">
    <w:name w:val="List Number 2"/>
    <w:basedOn w:val="Normal"/>
    <w:uiPriority w:val="99"/>
    <w:unhideWhenUsed/>
    <w:rsid w:val="0029639D"/>
    <w:pPr>
      <w:numPr>
        <w:numId w:val="6"/>
      </w:numPr>
    </w:pPr>
  </w:style>
  <w:style w:type="paragraph" w:styleId="ListNumber3">
    <w:name w:val="List Number 3"/>
    <w:basedOn w:val="Normal"/>
    <w:uiPriority w:val="99"/>
    <w:unhideWhenUsed/>
    <w:rsid w:val="0029639D"/>
    <w:pPr>
      <w:numPr>
        <w:numId w:val="7"/>
      </w:numPr>
    </w:pPr>
  </w:style>
  <w:style w:type="paragraph" w:styleId="ListContinue">
    <w:name w:val="List Continue"/>
    <w:basedOn w:val="Normal"/>
    <w:uiPriority w:val="99"/>
    <w:unhideWhenUsed/>
    <w:rsid w:val="0029639D"/>
    <w:pPr>
      <w:spacing w:after="120"/>
      <w:ind w:left="360"/>
    </w:pPr>
  </w:style>
  <w:style w:type="paragraph" w:styleId="ListContinue2">
    <w:name w:val="List Continue 2"/>
    <w:basedOn w:val="Normal"/>
    <w:uiPriority w:val="99"/>
    <w:unhideWhenUsed/>
    <w:rsid w:val="0029639D"/>
    <w:pPr>
      <w:spacing w:after="120"/>
      <w:ind w:left="720"/>
    </w:pPr>
  </w:style>
  <w:style w:type="paragraph" w:styleId="ListContinue3">
    <w:name w:val="List Continue 3"/>
    <w:basedOn w:val="Normal"/>
    <w:uiPriority w:val="99"/>
    <w:unhideWhenUsed/>
    <w:rsid w:val="0029639D"/>
    <w:pPr>
      <w:spacing w:after="120"/>
      <w:ind w:left="108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lato.stanford.edu/entries/paine/" TargetMode="External"/><Relationship Id="rId10" Type="http://schemas.openxmlformats.org/officeDocument/2006/relationships/hyperlink" Target="https://www.ssa.gov/history/paine4.html" TargetMode="External"/><Relationship Id="rId11" Type="http://schemas.openxmlformats.org/officeDocument/2006/relationships/hyperlink" Target="https://doi.org/10.1017/S0034670510000331" TargetMode="External"/><Relationship Id="rId12" Type="http://schemas.openxmlformats.org/officeDocument/2006/relationships/hyperlink" Target="https://press-pubs.uchicago.edu/founders/documents/amendI_religions43.html" TargetMode="External"/><Relationship Id="rId13" Type="http://schemas.openxmlformats.org/officeDocument/2006/relationships/hyperlink" Target="https://avalon.law.yale.edu/18th_century/fed10.asp" TargetMode="External"/><Relationship Id="rId14" Type="http://schemas.openxmlformats.org/officeDocument/2006/relationships/hyperlink" Target="https://avalon.law.yale.edu/18th_century/fed51.asp" TargetMode="External"/><Relationship Id="rId15" Type="http://schemas.openxmlformats.org/officeDocument/2006/relationships/hyperlink" Target="https://www.archives.gov/founding-docs/constitution-transcript" TargetMode="External"/><Relationship Id="rId16" Type="http://schemas.openxmlformats.org/officeDocument/2006/relationships/hyperlink" Target="https://www.archives.gov/founding-docs/bill-of-rights-transcript"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Secularity and Indiscriminate Help</dc:title>
  <dc:subject>Thomas Paine and the Federalist Papers</dc:subject>
  <dc:creator>Mostafa Azizi</dc:creator>
  <cp:keywords>secularity, Thomas Paine, Agrarian Justice, James Madison, Federalist Papers</cp:keywords>
  <dc:description>generated by python-docx</dc:description>
  <cp:lastModifiedBy/>
  <cp:revision>1</cp:revision>
  <dcterms:created xsi:type="dcterms:W3CDTF">2013-12-23T23:15:00Z</dcterms:created>
  <dcterms:modified xsi:type="dcterms:W3CDTF">2013-12-23T23:15:00Z</dcterms:modified>
  <cp:category/>
</cp:coreProperties>
</file>