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Liberation Serif" w:hAnsi="Liberation Serif"/>
        </w:rPr>
        <w:t>STEM</w:t>
      </w:r>
    </w:p>
    <w:p>
      <w:pPr>
        <w:spacing w:after="240"/>
      </w:pPr>
      <w:r>
        <w:rPr>
          <w:rFonts w:ascii="Liberation Serif" w:hAnsi="Liberation Serif"/>
        </w:rPr>
        <w:t>Dependence and the Conditions of Achievement</w:t>
      </w:r>
    </w:p>
    <w:p>
      <w:r>
        <w:rPr>
          <w:rFonts w:ascii="Liberation Serif" w:hAnsi="Liberation Serif"/>
        </w:rPr>
        <w:t>Mostafa Azizi</w:t>
      </w:r>
    </w:p>
    <w:p>
      <w:r>
        <w:rPr>
          <w:rFonts w:ascii="Liberation Serif" w:hAnsi="Liberation Serif"/>
        </w:rPr>
        <w:t>September 2026</w:t>
      </w:r>
    </w:p>
    <w:p>
      <w:r>
        <w:rPr>
          <w:rFonts w:ascii="Liberation Serif" w:hAnsi="Liberation Serif"/>
        </w:rPr>
        <w:t>An achievement is incompletely understood when the conditions that sustain it disappear from its explanation. Georges Bataille’s “The Big Toe” makes this problem visible through the upright human body: the head enjoys the prestige of elevation while the foot, which enables that elevation, becomes an object of contempt. This essay develops that contradiction into a philosophical account of support and brings it into conversation with contemporary research on quantum measurement and internal decoherence. The connection concerns explanatory responsibility. A result must be understood through the relations that make it possible, while the value assigned to that result must remain open to examination. Physical dependence alone does not establish an ethics, but recognizing dependence can expose judgments that undermine the conditions of the achievements they celebrate.</w:t>
      </w:r>
    </w:p>
    <w:p>
      <w:r>
        <w:rPr>
          <w:rFonts w:ascii="Liberation Serif" w:hAnsi="Liberation Serif"/>
        </w:rPr>
        <w:t>In “The Big Toe,” first published in 1929, Bataille begins with a reversal of attention. What distinguishes humanity is sought in a part of the body ordinarily excluded from its flattering self-portrait. The big toe provides an occasion to examine how uprightness becomes an image of human superiority. The foot’s contact with the ground makes the elevated posture possible, yet the person standing erect identifies with the head’s proximity to heaven and recoils from the foot’s proximity to mud. The relevant contradiction is already present within this ordinary body. Its physical cooperation is divided by a judgment that distributes honor and shame according to height (Bataille 1985, 20–23).</w:t>
      </w:r>
    </w:p>
    <w:p>
      <w:r>
        <w:rPr>
          <w:rFonts w:ascii="Liberation Serif" w:hAnsi="Liberation Serif"/>
        </w:rPr>
        <w:t>The opening claim about the toe’s uniquely human character should be read as Bataille’s provocation rather than adopted as an independently established ranking of anatomical differences. The argument developed here does not depend on that ranking. It depends on the discrepancy between a part’s contribution and its cultural treatment. Nor does the foot act alone: standing involves an organized body in contact with a surface. Bataille selects the toe because it makes the discrepancy conspicuous. The point is not to replace admiration for the head with an equally exclusive admiration for the foot, but to examine the distribution of admiration itself.</w:t>
      </w:r>
    </w:p>
    <w:p>
      <w:r>
        <w:rPr>
          <w:rFonts w:ascii="Liberation Serif" w:hAnsi="Liberation Serif"/>
        </w:rPr>
        <w:t>The image of the human being becoming a tree clarifies this problem. Independence from branches does not mean independence from support. A new posture entails a different arrangement of dependence. What has changed is the manner in which the body maintains itself, although pride may interpret this change as release from dependence altogether. The tree image therefore contains a difficulty for any straightforward narrative of ascent: to stand higher is still to stand somewhere. An account of elevation remains incomplete until it explains the contact, balance, and continuing activity through which elevation is sustained.</w:t>
      </w:r>
    </w:p>
    <w:p>
      <w:r>
        <w:rPr>
          <w:rFonts w:ascii="Liberation Serif" w:hAnsi="Liberation Serif"/>
        </w:rPr>
        <w:t>Bataille’s appeal to circulation intensifies the difficulty. Blood travels through a body whose survival cannot be identified with a single upward movement. His account of humanity’s desire to rise permanently into purity exposes a temporal ambition within the spatial hierarchy. The desired ascent would abolish return. Ordinary bodily existence frustrates that ambition because its demands recur. The foot attracts anger as a persistent reminder that uprightness has not accomplished the escape imagined on its behalf. Here bodily need becomes humiliating because it is judged against an ideal of final independence (Bataille 1985, 20–23).</w:t>
      </w:r>
    </w:p>
    <w:p>
      <w:r>
        <w:rPr>
          <w:rFonts w:ascii="Liberation Serif" w:hAnsi="Liberation Serif"/>
        </w:rPr>
        <w:t>This is a reading of the hierarchy dramatized in Bataille’s passage, not a claim that every religious use of heaven, ascent, or transcendence denies bodily existence. The object of criticism is the inference that what is elevated acquires value through freedom from its conditions. A religious or secular ideal becomes relevant to this critique when it treats ongoing dependence as an embarrassment that successful life ought eventually to overcome. The problem can arise wherever achievement is represented as having left its own enabling relations behind.</w:t>
      </w:r>
    </w:p>
    <w:p>
      <w:r>
        <w:rPr>
          <w:rFonts w:ascii="Liberation Serif" w:hAnsi="Liberation Serif"/>
        </w:rPr>
        <w:t>The passage on the mistreatment of feet gives this hierarchy practical consequences. Bataille describes deformation and discomfort alongside expressions that make feet a standard of dirtiness. Contempt is no longer merely a mistaken interpretation of anatomy. It accompanies treatment that damages the body’s capacities. We can draw a further inference from this sequence: when the condition of a neglected part is treated as evidence of its inherent baseness, the effects of mistreatment can appear to justify the mistreatment. That inference extends Bataille’s observation; it should not be confused with a causal history established by his brief account.</w:t>
      </w:r>
    </w:p>
    <w:p>
      <w:r>
        <w:rPr>
          <w:rFonts w:ascii="Liberation Serif" w:hAnsi="Liberation Serif"/>
        </w:rPr>
        <w:t>Support, as used in this essay, names an identifiable contribution to the production or persistence of a capacity. The word must retain this specificity. To say that everything depends on everything would give us no way to distinguish a necessary condition from a remote influence, or a constitutive relation from a replaceable convenience. An adequate account asks what contributes, how it contributes, and what changes when the contribution is removed or altered. It also distinguishes what originally produces an achievement from what continues to sustain it. A cause may cease to operate after an event; a condition of maintenance may be required throughout its duration.</w:t>
      </w:r>
    </w:p>
    <w:p>
      <w:r>
        <w:rPr>
          <w:rFonts w:ascii="Liberation Serif" w:hAnsi="Liberation Serif"/>
        </w:rPr>
        <w:t>This distinction changes the meaning of independence. A capacity can become more reliable, more flexible, or less dependent on a particular arrangement without becoming conditionless. The availability of alternative supports may enlarge freedom. A person able to move across different surfaces has acquired a range of possibilities, although movement still depends on bodily and environmental relations. Dependence does not by itself imply passivity or subordination. The relevant questions concern the character of the dependence and whether its organization enables or restricts action.</w:t>
      </w:r>
    </w:p>
    <w:p>
      <w:r>
        <w:rPr>
          <w:rFonts w:ascii="Liberation Serif" w:hAnsi="Liberation Serif"/>
        </w:rPr>
        <w:t>These questions provide a disciplined transition from Bataille to physics. The foot is not a model of a quantum system, and a laboratory result cannot verify a literary diagnosis of human pride. The comparison concerns the adequacy of explanation. In each domain, attention can settle on an achieved effect while overlooking the relations through which it occurs. Physics makes those relations quantitatively answerable; Bataille examines the judgments through which some of them become objects of disgust. Their juxtaposition is productive when it preserves that difference in method.</w:t>
      </w:r>
    </w:p>
    <w:p>
      <w:r>
        <w:rPr>
          <w:rFonts w:ascii="Liberation Serif" w:hAnsi="Liberation Serif"/>
        </w:rPr>
        <w:t>Quantum measurement offers an especially precise case. Yu and colleagues demonstrated correlations between the light and the 40-kilogram mirrors of LIGO in a study published in 2020. Continuous optical position measurement involves both readout uncertainty and the disturbance associated with radiation pressure. The standard quantum limit arises from the conventional balance between these contributions. Their experiment used quantum correlations to obtain a joint measurement uncertainty below that limit (Yu et al. 2020). The result locates improved precision within the measured interaction. It does not require a detached observer, and it does not imply that human consciousness produces the physical event.</w:t>
      </w:r>
    </w:p>
    <w:p>
      <w:r>
        <w:rPr>
          <w:rFonts w:ascii="Liberation Serif" w:hAnsi="Liberation Serif"/>
        </w:rPr>
        <w:t>A September 2026 preprint by Kabagöz and colleagues extends the experimental discussion through a trapped optomechanical mode involving the differential motion of LIGO’s 40-kilogram mirrors. The authors report that engineering the input quantum state establishes correlations between readout imprecision and measurement back-action. These correlations partially cancel contributions to the measured signal, reducing observed motion near resonance by approximately 47 percent. They distinguish imprecision, back-action, and their correlations in explaining the suppression (Kabagöz et al. 2026). The qualification “near resonance” matters: the reported percentage should not be generalized into a reduction of all mirror motion, much less a change in gravity.</w:t>
      </w:r>
    </w:p>
    <w:p>
      <w:r>
        <w:rPr>
          <w:rFonts w:ascii="Liberation Serif" w:hAnsi="Liberation Serif"/>
        </w:rPr>
        <w:t>The philosophical relevance lies in how the achievement is explained. A headline can present greater precision as a simple increase in observational power. The experimental account instead specifies the relations that make that precision possible. The means of observation participate in the conditions under which the observable result is obtained. Accounting for that participation strengthens the claim to knowledge because it identifies what must be controlled, modeled, and reproduced. Dependence becomes a condition of demonstrable reliability. The experiment thus provides a concrete occasion to question the picture of knowledge as an elevation beyond its own material means.</w:t>
      </w:r>
    </w:p>
    <w:p>
      <w:r>
        <w:t>Such an interpretation does not make uncertainty a synonym for human weakness or back-action a metaphor for moral guilt. Such substitutions would obscure the experiment. The analogy has a narrower scope: both the upright body and the successful measurement invite us to follow an apparent accomplishment into the relations that sustain it. In the laboratory, those relations are already central to the researchers’ explanation. The criticism applies to a portrayal of scientific achievement that removes them, rather than to scientific practice simply because it produces abstractions.</w:t>
      </w:r>
    </w:p>
    <w:p>
      <w:r>
        <w:t>Research on internal decoherence introduces another distinction. Pilatowsky-Cameo and colleagues study an isolated many-body quantum model in which microscopic degrees of freedom act as an internal environment for a macroscopic description. In their model, microscopic records suppress interference between macroscopic alternatives even though the complete system follows unitary dynamics. They derive and numerically test an effective description of the collective variables (Pilatowsky-Cameo et al. 2026). The result is theoretical and model-specific. Its importance here is that isolation of the whole does not entail independence of its internal parts.</w:t>
      </w:r>
    </w:p>
    <w:p>
      <w:r>
        <w:rPr>
          <w:rFonts w:ascii="Liberation Serif" w:hAnsi="Liberation Serif"/>
        </w:rPr>
        <w:t>This supplies a useful discipline for the word “absence.” Something absent from a chosen description may remain involved in the behavior described. An explanation that tracks collective variables need not display every microscopic degree of freedom; its success depends on how the effects of those degrees of freedom are incorporated. Exclusion from view is therefore not sufficient evidence of causal irrelevance. That observation gives the comparison with Bataille a sharper formulation. The problem is not simply that something has gone unseen. It is that the account may mistake its own omission for the omitted contribution’s insignificance.</w:t>
      </w:r>
    </w:p>
    <w:p>
      <w:r>
        <w:rPr>
          <w:rFonts w:ascii="Liberation Serif" w:hAnsi="Liberation Serif"/>
        </w:rPr>
        <w:t>Yet selective description is indispensable. No account of standing needs to enumerate every molecular interaction, and no usable model reproduces its object in every detail. The demand to acknowledge support cannot require exhaustive inclusion. It requires that omissions remain compatible with the question being answered. Abstraction becomes misleading when it licenses an inference that would fail if the omitted dependence were restored. A useful explanation can set details aside while specifying its limits; a claim of self-sufficiency erases the relevance of those limits.</w:t>
      </w:r>
    </w:p>
    <w:p>
      <w:r>
        <w:rPr>
          <w:rFonts w:ascii="Liberation Serif" w:hAnsi="Liberation Serif"/>
        </w:rPr>
        <w:t>The distinction is particularly important for Mechanica Oceanica. As a proposed framework concerned with coherence and physical organization, it can use these studies to refine its questions. Optical correlations can affect macroscopic measurement, and microscopic organization can matter for macroscopic behavior. Neither result independently establishes that mass is coherence or that gravity originates in electromagnetic coherence. Those stronger claims would require explicit quantities, equations connecting them to observations, and predictions that distinguish the framework from existing explanations. The studies offer constraints and experimental problems; their compatibility with a broad intuition is not confirmation of its full ontology.</w:t>
      </w:r>
    </w:p>
    <w:p>
      <w:r>
        <w:rPr>
          <w:rFonts w:ascii="Liberation Serif" w:hAnsi="Liberation Serif"/>
        </w:rPr>
        <w:t>A contemporaneous theoretical preprint by Wu and Rong illustrates why the qualification matters. For the neutrino-oscillation settings they analyze in asymptotically flat spacetimes, an effective-distance description maps gravitationally affected phases onto flat-spacetime phases. They argue that the maximal coherence characterized by their Leggett–Garg parameter is independent of the background spacetimes considered (Wu and Rong 2026). A change in oscillation phase must therefore be distinguished from a change in the maximum of a specified coherence measure. This does not settle every possible relation between gravity and coherence. It does prevent those terms from being treated as interchangeable without specifying a model and a measure.</w:t>
      </w:r>
    </w:p>
    <w:p>
      <w:r>
        <w:rPr>
          <w:rFonts w:ascii="Liberation Serif" w:hAnsi="Liberation Serif"/>
        </w:rPr>
        <w:t>The resulting account of support also changes how achievement is evaluated. A higher value on one scale may coexist with damage to the capacities that sustain performance across time. A practice can increase an immediate output while narrowing the range of conditions under which further action remains possible. This is the danger named here by maxcentrism: allowing the maximum on a selected scale to govern the interpretation of formation as a whole. The criticism leaves demanding achievement intact. It asks whether the measure of achievement includes the preservation and transformation of the capacities on which future achievement depends.</w:t>
      </w:r>
    </w:p>
    <w:p>
      <w:r>
        <w:rPr>
          <w:rFonts w:ascii="Liberation Serif" w:hAnsi="Liberation Serif"/>
        </w:rPr>
        <w:t>Bataille’s foot gives this question a concrete form. Uprightness can be celebrated through practices that impair the body’s ability to stand and move. The representation of success then turns against a condition of success. In a broader philosophical vocabulary, such an arrangement can be called immaturation: an apparent advance accompanied by a contraction of available capacity. This is a conceptual extension of the reading developed here, not a term attributable to Bataille or a physical finding derived from the studies. Its usefulness depends on identifying the capacity that contracts and showing how the contraction occurs.</w:t>
      </w:r>
    </w:p>
    <w:p>
      <w:r>
        <w:rPr>
          <w:rFonts w:ascii="Liberation Serif" w:hAnsi="Liberation Serif"/>
        </w:rPr>
        <w:t>An ethical argument requires a further step. Physical necessity does not confer moral worth, and a person’s dignity cannot depend on how much that person contributes to another’s achievement. Recognition of support can expose ingratitude, exploitation, or damaging neglect, but it cannot supply an entire account of justice. Where people are concerned, the value of a supporting activity and the worth of the person performing it must remain distinguishable. Otherwise a correction to the glorification of achievement would merely distribute dignity according to usefulness.</w:t>
      </w:r>
    </w:p>
    <w:p>
      <w:r>
        <w:t>In practice, the consequence is more exacting than a general celebration of dependence. We must examine which arrangements sustain a valued capacity, whether their burdens are acknowledged, and whether preserving the result requires preserving those arrangements or changing them. Some dependencies deserve care; others should be reduced or replaced. Recognition makes that judgment possible by bringing the actual relation into view. It offers no reason to sanctify an existing hierarchy simply because someone depends on it.</w:t>
      </w:r>
    </w:p>
    <w:p>
      <w:r>
        <w:rPr>
          <w:rFonts w:ascii="Liberation Serif" w:hAnsi="Liberation Serif"/>
        </w:rPr>
        <w:t>The title STEM can therefore hold together two readings. It names the scientific and technical disciplines gathered in the original essay, while the botanical image recalls a structure through which elevation remains connected to what sustains it. The stem gives the paper its question rather than its proof. What must an account retain so that a visible achievement does not conceal the conditions of its possibility? Bataille answers by forcing attention downward, toward the part made shameful by an ideal of ascent. The physical studies answer their own, more specific questions through explicit interactions, correlations, and reduced descriptions. Brought together, they invite an account of achievement in which knowing what supports a capacity is part of understanding what that capacity is.</w:t>
      </w:r>
    </w:p>
    <w:p>
      <w:r>
        <w:rPr>
          <w:rFonts w:ascii="Liberation Serif" w:hAnsi="Liberation Serif"/>
        </w:rPr>
        <w:br w:type="page"/>
      </w:r>
    </w:p>
    <w:p>
      <w:r>
        <w:rPr>
          <w:rFonts w:ascii="Liberation Serif" w:hAnsi="Liberation Serif"/>
        </w:rPr>
        <w:t>References</w:t>
      </w:r>
    </w:p>
    <w:p>
      <w:pPr>
        <w:spacing w:after="240"/>
      </w:pPr>
      <w:r>
        <w:rPr>
          <w:rFonts w:ascii="Liberation Serif" w:hAnsi="Liberation Serif"/>
        </w:rPr>
        <w:t>Azizi, Mostafa. 2026. “STEM.” September 19. Source essay.</w:t>
      </w:r>
      <w:r>
        <w:rPr>
          <w:rFonts w:ascii="Liberation Serif" w:hAnsi="Liberation Serif"/>
        </w:rPr>
        <w:t xml:space="preserve"> </w:t>
      </w:r>
      <w:hyperlink r:id="rId9">
        <w:r>
          <w:t>https://ov1d.com/2026/09/19/stem/</w:t>
        </w:r>
      </w:hyperlink>
    </w:p>
    <w:p>
      <w:pPr>
        <w:spacing w:after="240"/>
      </w:pPr>
      <w:r>
        <w:rPr>
          <w:rFonts w:ascii="Liberation Serif" w:hAnsi="Liberation Serif"/>
        </w:rPr>
        <w:t>Bataille, Georges. 1985 [1929]. “The Big Toe.” In Visions of Excess: Selected Writings, 1927–1939, edited by Allan Stoekl, translated by Allan Stoekl with Carl R. Lovitt and Donald M. Leslie Jr., 20–23. Minneapolis: University of Minnesota Press. Close reading based on the passages reproduced in “STEM.”</w:t>
      </w:r>
    </w:p>
    <w:p>
      <w:pPr>
        <w:spacing w:after="240"/>
      </w:pPr>
      <w:r>
        <w:rPr>
          <w:rFonts w:ascii="Liberation Serif" w:hAnsi="Liberation Serif"/>
        </w:rPr>
        <w:t>Kabagöz, Begüm, et al. 2026. “Observing and Evading Quantum Back-Action on a Kilogram-Scale Oscillator.” arXiv preprint 2609.19317, version 1, September 16.</w:t>
      </w:r>
      <w:r>
        <w:rPr>
          <w:rFonts w:ascii="Liberation Serif" w:hAnsi="Liberation Serif"/>
        </w:rPr>
        <w:t xml:space="preserve"> </w:t>
      </w:r>
      <w:hyperlink r:id="rId10">
        <w:r>
          <w:t>https://arxiv.org/abs/2609.19317v1</w:t>
        </w:r>
      </w:hyperlink>
    </w:p>
    <w:p>
      <w:pPr>
        <w:spacing w:after="240"/>
      </w:pPr>
      <w:r>
        <w:rPr>
          <w:rFonts w:ascii="Liberation Serif" w:hAnsi="Liberation Serif"/>
        </w:rPr>
        <w:t>Pilatowsky-Cameo, Saúl, Jordan Cotler, Daniel Ranard, and C. Jess Riedel. 2026. “Emergent Classicality and Wavefunction Branching in an Isolated Quantum Many-Body System.” arXiv preprint 2609.19254, version 1, September 16.</w:t>
      </w:r>
      <w:r>
        <w:rPr>
          <w:rFonts w:ascii="Liberation Serif" w:hAnsi="Liberation Serif"/>
        </w:rPr>
        <w:t xml:space="preserve"> </w:t>
      </w:r>
      <w:hyperlink r:id="rId11">
        <w:r>
          <w:t>https://arxiv.org/abs/2609.19254v1</w:t>
        </w:r>
      </w:hyperlink>
    </w:p>
    <w:p>
      <w:pPr>
        <w:spacing w:after="240"/>
      </w:pPr>
      <w:r>
        <w:rPr>
          <w:rFonts w:ascii="Liberation Serif" w:hAnsi="Liberation Serif"/>
        </w:rPr>
        <w:t>Wu, Shan, and Shu-Jun Rong. 2026. “Interpreting Quantum Coherence of Neutrinos in Asymptotically Flat Spacetimes via Effective Distances: Solution to the Paradoxes of the Leggett-Garg Inequality and Quantum Information Quantities.” arXiv preprint 2609.19198, version 1, September 16.</w:t>
      </w:r>
      <w:r>
        <w:rPr>
          <w:rFonts w:ascii="Liberation Serif" w:hAnsi="Liberation Serif"/>
        </w:rPr>
        <w:t xml:space="preserve"> </w:t>
      </w:r>
      <w:hyperlink r:id="rId12">
        <w:r>
          <w:t>https://arxiv.org/abs/2609.19198v1</w:t>
        </w:r>
      </w:hyperlink>
    </w:p>
    <w:p>
      <w:pPr>
        <w:spacing w:after="240"/>
      </w:pPr>
      <w:r>
        <w:rPr>
          <w:rFonts w:ascii="Liberation Serif" w:hAnsi="Liberation Serif"/>
        </w:rPr>
        <w:t>Yu, Haocun, et al. 2020. “Quantum Correlations between Light and the Kilogram-Mass Mirrors of LIGO.” Nature 583: 43–47. doi:10.1038/s41586-020-2420-8.</w:t>
      </w:r>
      <w:r>
        <w:rPr>
          <w:rFonts w:ascii="Liberation Serif" w:hAnsi="Liberation Serif"/>
        </w:rPr>
        <w:t xml:space="preserve"> </w:t>
      </w:r>
      <w:hyperlink r:id="rId13">
        <w:r>
          <w:t>https://arxiv.org/abs/2002.01519</w:t>
        </w:r>
      </w:hyperlink>
    </w:p>
    <w:p>
      <w:pPr>
        <w:spacing w:before="160"/>
      </w:pPr>
      <w:r>
        <w:rPr>
          <w:rFonts w:ascii="Liberation Serif" w:hAnsi="Liberation Serif"/>
        </w:rPr>
        <w:t>Source note. The September 2026 physics papers are cited as preprints. The philosophical argument is an interpretation and extension of the source essay, not an empirical result established by those papers. Sources checked September 19, 2026.</w:t>
      </w:r>
    </w:p>
    <w:sectPr w:rsidR="00FC693F" w:rsidRPr="0006063C" w:rsidSect="00034616">
      <w:footerReference w:type="default" r:id="rId14"/>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Liberation Serif" w:hAnsi="Liberation Serif"/>
      <w:b w:val="0"/>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iberation Serif" w:hAnsi="Liberation Serif"/>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v1d.com/2026/09/19/stem/" TargetMode="External"/><Relationship Id="rId10" Type="http://schemas.openxmlformats.org/officeDocument/2006/relationships/hyperlink" Target="https://arxiv.org/abs/2609.19317v1" TargetMode="External"/><Relationship Id="rId11" Type="http://schemas.openxmlformats.org/officeDocument/2006/relationships/hyperlink" Target="https://arxiv.org/abs/2609.19254v1" TargetMode="External"/><Relationship Id="rId12" Type="http://schemas.openxmlformats.org/officeDocument/2006/relationships/hyperlink" Target="https://arxiv.org/abs/2609.19198v1" TargetMode="External"/><Relationship Id="rId13" Type="http://schemas.openxmlformats.org/officeDocument/2006/relationships/hyperlink" Target="https://arxiv.org/abs/2002.0151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STEM — Dependence and the Conditions of Achievement</dc:title>
  <dc:subject/>
  <dc:creator>Mostafa Azizi</dc:creator>
  <cp:keywords/>
  <dc:description>generated by python-docx</dc:description>
  <cp:lastModifiedBy/>
  <cp:revision>1</cp:revision>
  <dcterms:created xsi:type="dcterms:W3CDTF">2013-12-23T23:15:00Z</dcterms:created>
  <dcterms:modified xsi:type="dcterms:W3CDTF">2013-12-23T23:15:00Z</dcterms:modified>
  <cp:category/>
</cp:coreProperties>
</file>