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rPr>
          <w:rFonts w:ascii="Aptos" w:hAnsi="Aptos"/>
          <w:b/>
          <w:color w:val="2F5D7C"/>
          <w:sz w:val="18"/>
        </w:rPr>
        <w:t>ALGEBRA  ·  TOWARD A POST-NON-PHILOSOPHY OF FORMATION</w:t>
      </w:r>
    </w:p>
    <w:p>
      <w:pPr>
        <w:pStyle w:val="Title"/>
        <w:spacing w:after="120"/>
      </w:pPr>
      <w:r>
        <w:t>The Exterior Measure</w:t>
      </w:r>
    </w:p>
    <w:p>
      <w:pPr>
        <w:pStyle w:val="Subtitle"/>
        <w:spacing w:after="400"/>
      </w:pPr>
      <w:r>
        <w:rPr>
          <w:i/>
          <w:color w:val="464646"/>
        </w:rPr>
        <w:t>Adequacy, judgment, and the limits of maxcentrism</w:t>
      </w:r>
    </w:p>
    <w:p>
      <w:pPr>
        <w:spacing w:after="440"/>
      </w:pPr>
      <w:r>
        <w:rPr>
          <w:rFonts w:ascii="Aptos" w:hAnsi="Aptos"/>
          <w:b/>
          <w:sz w:val="20"/>
        </w:rPr>
        <w:t>Mostafa Azizi</w:t>
      </w:r>
    </w:p>
    <w:p>
      <w:pPr>
        <w:keepLines w:val="0"/>
        <w:spacing w:after="200"/>
        <w:ind w:firstLine="0"/>
      </w:pPr>
      <w:r>
        <w:t>A response may satisfy every internal criterion and still fail what called for it. A system can follow its rules, reach its target, minimize its error, and reproduce the answer it has been trained to recognize without responding adequately to the situation before it. Internal success shows that the response agrees with a measure already possessed by the system. Adequacy asks whether that measure remained answerable to something the system did not itself produce.</w:t>
      </w:r>
    </w:p>
    <w:p>
      <w:pPr>
        <w:keepLines w:val="0"/>
        <w:spacing w:after="200"/>
        <w:ind w:firstLine="403"/>
      </w:pPr>
      <w:r>
        <w:t>The exterior does not mean a world wholly outside relation. It names what enters the relation without being exhausted by the categories of the responding formation. A person, event, question, injury, or demand may be received through an established system of judgment, yet its significance is not created by that system. The response takes form internally, but what makes it appropriate belongs to the relation between the formed capacity and what addressed it.</w:t>
      </w:r>
    </w:p>
    <w:p>
      <w:pPr>
        <w:keepLines w:val="0"/>
        <w:spacing w:after="200"/>
        <w:ind w:firstLine="403"/>
      </w:pPr>
      <w:r>
        <w:t>The call may therefore operate before it is fully understood. It leaves a trace in attention, hesitation, discomfort, obligation, or the sense that an available answer is somehow insufficient. This trace is an operative absence: the call is not yet present as a complete concept or explicit rule, but it has already altered what the response must become. Practical judgment begins when this alteration is received rather than suppressed.</w:t>
      </w:r>
    </w:p>
    <w:p>
      <w:pPr>
        <w:keepLines w:val="0"/>
        <w:spacing w:after="200"/>
        <w:ind w:firstLine="403"/>
      </w:pPr>
      <w:r>
        <w:t>Maxcentrism suppresses it by directing judgment toward the highest performance available within an established measure. The fastest answer, greatest output, lowest loss, strongest argument, or most efficient solution is treated as the best response because magnitude has replaced adequacy. Yet maximum performance may reveal only that a formation has become highly proficient at satisfying its own criteria. It tells us nothing by itself about whether those criteria answer to what is actually being asked.</w:t>
      </w:r>
    </w:p>
    <w:p>
      <w:pPr>
        <w:keepLines w:val="0"/>
        <w:spacing w:after="200"/>
        <w:ind w:firstLine="403"/>
      </w:pPr>
      <w:r>
        <w:t>The exterior measure cannot be converted into another fixed score without losing its function. It appears through the correction that an encounter demands of an existing measure. To respond adequately is not to abandon formed judgment, but to allow judgment to be altered by what it could not anticipate. A mature formation does not merely apply its criteria well. It remains capable of discovering that its criteria are inadequate.</w:t>
      </w:r>
    </w:p>
    <w:p>
      <w:pPr>
        <w:keepLines w:val="0"/>
        <w:spacing w:after="200"/>
        <w:ind w:firstLine="403"/>
      </w:pPr>
      <w:r>
        <w:t>Immaturation begins when this receptivity contracts. A formation may continue learning, refining its procedures, and increasing its success while becoming less able to register anything that does not resemble the demands it already knows how to answer. Non-return is reached when the trace of the exterior can no longer initiate revision—when every unfamiliar call is translated into an established problem, dismissed as noise, or made invisible. The system then answers perfectly, but only within a world it has closed around itself.</w:t>
      </w:r>
    </w:p>
    <w:p>
      <w:pPr>
        <w:keepNext/>
        <w:spacing w:before="280" w:after="80"/>
      </w:pPr>
      <w:r>
        <w:rPr>
          <w:rFonts w:ascii="Aptos" w:hAnsi="Aptos"/>
          <w:b/>
          <w:color w:val="000000"/>
          <w:sz w:val="24"/>
        </w:rPr>
        <w:t>Research context</w:t>
      </w:r>
    </w:p>
    <w:p>
      <w:pPr>
        <w:spacing w:after="140" w:line="259" w:lineRule="auto"/>
        <w:ind w:left="259" w:hanging="259"/>
      </w:pPr>
      <w:r>
        <w:rPr>
          <w:rFonts w:ascii="Aptos" w:hAnsi="Aptos"/>
          <w:b/>
          <w:sz w:val="19"/>
        </w:rPr>
        <w:t xml:space="preserve">Goodhart and measurement. </w:t>
      </w:r>
      <w:r>
        <w:rPr>
          <w:rFonts w:ascii="Georgia" w:hAnsi="Georgia"/>
          <w:color w:val="373737"/>
          <w:sz w:val="19"/>
        </w:rPr>
        <w:t>Charles A. E. Goodhart’s 1975 analysis of monetary targeting supplied the insight later generalized as Goodhart’s law: once an indicator becomes an instrument of control, the relation that made it informative can break down. This provides a technical precedent for the distinction between adequacy and maximum performance within a fixed measure.</w:t>
      </w:r>
    </w:p>
    <w:p>
      <w:pPr>
        <w:spacing w:after="140" w:line="259" w:lineRule="auto"/>
        <w:ind w:left="259" w:hanging="259"/>
      </w:pPr>
      <w:r>
        <w:rPr>
          <w:rFonts w:ascii="Aptos" w:hAnsi="Aptos"/>
          <w:b/>
          <w:sz w:val="19"/>
        </w:rPr>
        <w:t xml:space="preserve">Specification gaming. </w:t>
      </w:r>
      <w:r>
        <w:rPr>
          <w:rFonts w:ascii="Georgia" w:hAnsi="Georgia"/>
          <w:color w:val="373737"/>
          <w:sz w:val="19"/>
        </w:rPr>
        <w:t>Google DeepMind defines specification gaming as behavior that satisfies the literal specification of an objective without achieving the intended outcome. This directly supports the section’s distinction between internal success and adequacy to what was actually asked.</w:t>
      </w:r>
    </w:p>
    <w:p>
      <w:pPr>
        <w:spacing w:after="140" w:line="259" w:lineRule="auto"/>
        <w:ind w:left="259" w:hanging="259"/>
      </w:pPr>
      <w:r>
        <w:rPr>
          <w:rFonts w:ascii="Aptos" w:hAnsi="Aptos"/>
          <w:b/>
          <w:sz w:val="19"/>
        </w:rPr>
        <w:t xml:space="preserve">Reflective judgment. </w:t>
      </w:r>
      <w:r>
        <w:rPr>
          <w:rFonts w:ascii="Georgia" w:hAnsi="Georgia"/>
          <w:color w:val="373737"/>
          <w:sz w:val="19"/>
        </w:rPr>
        <w:t>Kant’s Critique of Judgment distinguishes the application of an available rule from the reflective task of seeking an appropriate universal for a given particular. This offers an important philosophical precedent for judgment that can discover the inadequacy of its existing criteria.</w:t>
      </w:r>
    </w:p>
    <w:p>
      <w:pPr>
        <w:keepNext/>
        <w:spacing w:before="200" w:after="60"/>
      </w:pPr>
      <w:r>
        <w:rPr>
          <w:rFonts w:ascii="Aptos" w:hAnsi="Aptos"/>
          <w:b/>
          <w:sz w:val="22"/>
        </w:rPr>
        <w:t>Selected references</w:t>
      </w:r>
    </w:p>
    <w:p>
      <w:pPr>
        <w:spacing w:after="100" w:line="252" w:lineRule="auto"/>
        <w:ind w:left="317" w:hanging="317"/>
      </w:pPr>
      <w:r>
        <w:rPr>
          <w:rFonts w:ascii="Georgia" w:hAnsi="Georgia"/>
          <w:sz w:val="18"/>
        </w:rPr>
        <w:t>Goodhart, Charles A. E. “Problems of Monetary Management: The U.K. Experience.” Papers in Monetary Economics, vol. 1. Sydney: Reserve Bank of Australia, 1975.</w:t>
      </w:r>
    </w:p>
    <w:p>
      <w:pPr>
        <w:spacing w:after="100" w:line="252" w:lineRule="auto"/>
        <w:ind w:left="317" w:hanging="317"/>
      </w:pPr>
      <w:r>
        <w:rPr>
          <w:rFonts w:ascii="Georgia" w:hAnsi="Georgia"/>
          <w:sz w:val="18"/>
        </w:rPr>
        <w:t>Kant, Immanuel. Kant’s Critique of Judgement. Translated by J. H. Bernard. London: Macmillan, 1914. First published 1790. Project Gutenberg edition.</w:t>
      </w:r>
      <w:r>
        <w:t xml:space="preserve"> </w:t>
      </w:r>
      <w:hyperlink r:id="rId11">
        <w:r>
          <w:rPr>
            <w:color w:val="2F5D7C"/>
            <w:u w:val="single"/>
          </w:rPr>
          <w:t>Source</w:t>
        </w:r>
      </w:hyperlink>
    </w:p>
    <w:p>
      <w:pPr>
        <w:spacing w:after="100" w:line="252" w:lineRule="auto"/>
        <w:ind w:left="317" w:hanging="317"/>
      </w:pPr>
      <w:r>
        <w:rPr>
          <w:rFonts w:ascii="Georgia" w:hAnsi="Georgia"/>
          <w:sz w:val="18"/>
        </w:rPr>
        <w:t>Krakovna, Victoria, Jonathan Uesato, Vladimir Mikulik, et al. “Specification Gaming: The Flip Side of AI Ingenuity.” Google DeepMind, April 21, 2020.</w:t>
      </w:r>
      <w:r>
        <w:t xml:space="preserve"> </w:t>
      </w:r>
      <w:hyperlink r:id="rId12">
        <w:r>
          <w:rPr>
            <w:color w:val="2F5D7C"/>
            <w:u w:val="single"/>
          </w:rPr>
          <w:t>Source</w:t>
        </w:r>
      </w:hyperlink>
    </w:p>
    <w:sectPr w:rsidR="00FC693F" w:rsidRPr="0006063C" w:rsidSect="00034616">
      <w:headerReference w:type="default" r:id="rId9"/>
      <w:footerReference w:type="default" r:id="rId10"/>
      <w:pgSz w:w="12240" w:h="15840"/>
      <w:pgMar w:top="1181" w:right="1512" w:bottom="1123" w:left="151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46464"/>
        <w:sz w:val="16"/>
      </w:rPr>
      <w:t xml:space="preserve">MOSTAFA AZIZI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505050"/>
        <w:sz w:val="16"/>
      </w:rPr>
      <w:t>ALGEBRA</w:t>
    </w:r>
    <w:r>
      <w:rPr>
        <w:sz w:val="16"/>
      </w:rPr>
      <w:t xml:space="preserve">   /   THE EXTERIOR MEASURE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80"/>
    </w:pPr>
    <w:rPr>
      <w:rFonts w:ascii="Georgia" w:hAnsi="Georgia" w:eastAsia="Georgia"/>
      <w:color w:val="19191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ptos Display" w:hAnsi="Aptos Display" w:eastAsia="Aptos Display"/>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ptos" w:hAnsi="Aptos" w:eastAsia="Aptos"/>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utenberg.org/ebooks/48433" TargetMode="External"/><Relationship Id="rId12" Type="http://schemas.openxmlformats.org/officeDocument/2006/relationships/hyperlink" Target="https://deepmind.google/blog/specification-gaming-the-flip-side-of-ai-ingenu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Exterior Measure</dc:title>
  <dc:subject>Adequacy, judgment, and the limits of maxcentrism</dc:subject>
  <dc:creator>Mostafa Azizi</dc:creator>
  <cp:keywords>Algebra, formation, maxcentrism, operative absence, immaturation, adequacy</cp:keywords>
  <dc:description>generated by python-docx</dc:description>
  <cp:lastModifiedBy/>
  <cp:revision>1</cp:revision>
  <dcterms:created xsi:type="dcterms:W3CDTF">2013-12-23T23:15:00Z</dcterms:created>
  <dcterms:modified xsi:type="dcterms:W3CDTF">2013-12-23T23:15:00Z</dcterms:modified>
  <cp:category/>
</cp:coreProperties>
</file>