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00"/>
      </w:pPr>
      <w:r>
        <w:rPr>
          <w:sz w:val="44"/>
        </w:rPr>
        <w:t>The Trace of Practical Judgment</w:t>
      </w:r>
    </w:p>
    <w:p>
      <w:pPr>
        <w:spacing w:after="100"/>
      </w:pPr>
      <w:r>
        <w:t>Knowledge Dignity and Immaturation</w:t>
      </w:r>
    </w:p>
    <w:p>
      <w:pPr>
        <w:spacing w:after="360"/>
      </w:pPr>
      <w:r>
        <w:t>Mostafa Azizi</w:t>
      </w:r>
    </w:p>
    <w:p>
      <w:r>
        <w:t>A correct answer does more than bring a search to an end. It claims to satisfy something that the search did not arbitrarily invent. A question can be badly posed, its assumptions mistaken, its expectations confused; nevertheless, asking exposes us to the difference between a response that understands and one that misses what is at issue. We often recognize that difference before we can supply the answer ourselves. The difficulty is to explain how correction can have a direction when its destination remains unknown. This essay approaches that difficulty through Kant’s accounts of knowledge, judgment, and dignity. Its proposal is that knowledge is already an exercise of answerability, and that the contraction of this answerability can persist beneath impressive achievements in performance.</w:t>
      </w:r>
    </w:p>
    <w:p>
      <w:r>
        <w:t>A neural network makes the production of an answer unusually open to technical description. Inputs represent what is supplied to it; computations transform those representations through an arrangement shaped by training. A loss function measures performance against a specified objective. Backpropagation calculates how that loss depends on the parameters, allowing an optimizer to adjust them. The procedure neither examines every possible permutation nor independently establishes the worth of its objective. It makes a chosen criterion effective. Whether the criterion adequately expresses what we asked remains a question for judgment. The distinction is already central to Neural Networks and the Formation of Response: an explanation of how a capacity was produced leaves open what makes its exercise adequate. [1]</w:t>
      </w:r>
    </w:p>
    <w:p>
      <w:r>
        <w:t>The answer is therefore anticipated without being possessed. This does not require a finished sentence waiting somewhere outside the machine. The question, its circumstances, and the understanding brought to it already exclude some responses and invite others. Even those exclusions can change: a compelling answer may disclose that we had misunderstood our own question. The relation is reciprocal without being self-sufficient. Two speakers can agree and still be mistaken. Their agreement must remain open to the passage, event, person, or problem they are attempting to understand. What gives their exchange its direction cannot be reduced to the fact that they have come to approve it.</w:t>
      </w:r>
    </w:p>
    <w:p>
      <w:r>
        <w:t>Kant gives one form of this problem its classical formulation: how are synthetic a priori judgments possible? A synthetic judgment extends what is known beyond what is already contained in the concept being analyzed; an a priori judgment is justified independently of experience. Kant asks how an extension of knowledge can possess that warrant. His answer appeals to the conditions under which objects can be given and thought in possible experience. This is a narrower question than our inquiry into correct answers generally. Its importance here is methodological: successful thinking must account for its entitlement to concern an object. Producing a judgment and vindicating its authority are distinguishable tasks. [2]</w:t>
      </w:r>
    </w:p>
    <w:p>
      <w:r>
        <w:t>The analogy with a network must consequently remain limited. A machine’s architecture constrains what it can process, but having constraints does not establish the necessity Kant seeks. Learned weights have an empirical history. Inputs have already been selected and encoded, so calling them noumena would obscure the mediation we need to examine. The useful connection concerns the question of conditions: what must already be in operation for an encounter to become intelligible, and how do those conditions enable and delimit what can be claimed? The architecture of a response gives us a place to investigate this problem; it does not resolve the philosophical question by resemblance.</w:t>
      </w:r>
    </w:p>
    <w:p>
      <w:r>
        <w:t>The further difficulty appears in the page from Alenka Zupančič’s Ethics of the Real that prompted this discussion. Transcendental illusion, she writes, “deceives on the level of being.” Her emphasis concerns the apparent existence of what thought pursues. The passage turns to Kant’s image of a territory of truth surrounded by an ocean in which fog and melting ice suggest further shores. A journey can acquire direction from something that offers no land on which to arrive. We should distinguish this from a simple contradiction. An impossible construction can defeat itself in its terms; transcendental illusion can sustain an intelligible and compelling pursuit whose objective warrant remains absent. [3]</w:t>
      </w:r>
    </w:p>
    <w:p>
      <w:r>
        <w:t>For the question and answer, the implication is exacting. A question may appear to prescribe a destination without establishing that anything could satisfy it. We can refine our methods and reject unsuccessful responses while leaving that initial assumption untouched. Here the Whale names the object whose anticipated encounter organizes the pursuit. The metaphor leaves its status open: a discovered object, a projection, or an expectation whose terms require revision. Correction must be able to reach the presupposition that there is something there to be reached. Otherwise every failure becomes a reason for more of the same search.</w:t>
      </w:r>
    </w:p>
    <w:p>
      <w:r>
        <w:t>This is also why the feeling of correctness cannot serve as its own final authority. Recognition can be immediate while remaining mistaken. We depend on a trained sensitivity to fit, relevance, discrepancy, and evasion, but those sensitivities have histories and can be altered. “Intuition” can name such immediate recognition in ordinary speech; it should not be confused with Kant’s technical term for the immediate representation through which an object is given. Our everyday reliance on recognition establishes the importance of understanding it. It does not grant us an infallible faculty hidden behind our judgments.</w:t>
      </w:r>
    </w:p>
    <w:p>
      <w:r>
        <w:t>Rules alone do not remove this difficulty. Kant’s discussion of judgment points out that a further rule for applying a rule would itself require judgment. His learner who memorizes a philosophical system sharpens the point: the content can be rational while the learner’s possession of it remains merely historical. These passages provide a direct basis for distinguishing the retention of knowledge from the capacity to exercise it. They occur in both editions of the Critique. [2]</w:t>
      </w:r>
    </w:p>
    <w:p>
      <w:r>
        <w:t>The changes between the 1781 and 1787 editions nevertheless make that distinction a legitimate subject of investigation. The first Deduction develops apprehension, reproduction, and recognition; the second reorganizes the justification around the unity of apperception and judgment. The relation between imagination and understanding is a significant part of the change. It would be premature to identify edition A with living thought and edition B with its deterioration. A reformulation can clarify the activity it describes. The question for our project is whether a particular revision or reception preserves access to the conditions of knowing, or encourages the results to circulate independently of them. That remains an interpretive task, not a historical conclusion already secured. [4]</w:t>
      </w:r>
    </w:p>
    <w:p>
      <w:r>
        <w:t>The problem becomes practical when the answer takes the form of an action. Survival and personal advantage can explain much of what we pursue, but they do not by themselves settle what deserves pursuit. Someone may refuse to betray another person at considerable cost. The cost does not establish the act’s goodness; equally, it cannot by itself refute it. Even an account of the biological or social formation of such commitments leaves their justification to be examined. A genealogy can explain why a demand is felt without deciding whether it should bind us.</w:t>
      </w:r>
    </w:p>
    <w:p>
      <w:r>
        <w:t>Kant’s kingdom of ends gives this difference a determinate philosophical form. It is an ideal systematic union of rational beings under common laws, each acting as a legislating member and treating humanity, in themselves and others, as an end. Within it, Kant distinguishes price from dignity. Price permits substitution by an equivalent. Dignity admits no such equivalent. Its basis is autonomy, the capacity for moral self-legislation, rather than an individual’s usefulness. The point is not that cooperation or exchange must cease. It is that persons cannot be treated merely as instruments for ends whose pursuit disregards their standing. [5]</w:t>
      </w:r>
    </w:p>
    <w:p>
      <w:r>
        <w:t>Dignity changes what a calculation may presume to settle. If a person’s standing depended entirely on the benefits others could extract from them, an increase in benefit could always provide a reason for their replacement. Dignity denies that equivalence. Recognition of it can require acting against personal advantage; suffering itself acquires no value merely by being suffered. The moral claim concerns the principle of action and the status of those it affects. It requires our purposes to be examined before their efficient accomplishment is credited as success.</w:t>
      </w:r>
    </w:p>
    <w:p>
      <w:r>
        <w:t>This leads to the thesis that knowledge was always moral. The claim needs to retain its full force without turning every factual judgment into a test of the speaker’s virtue. A wrongdoer can know an arithmetic truth. What is at issue is the completeness of an account of knowing that isolates successful operations from the obligations incurred in their exercise. Inquiry depends on acknowledging evidence, allowing objections to matter, and refraining from treating preference as sufficient warrant. These epistemic commitments do not automatically amount to Kant’s moral law. The proposed connection is that knowing is an accountable activity, and that where its objects and practices involve persons, their dignity enters what an adequate relation requires.</w:t>
      </w:r>
    </w:p>
    <w:p>
      <w:r>
        <w:t>To understand another person is consequently more demanding than to predict their behavior. An account may be extraordinarily accurate about what will frighten, persuade, or exhaust someone while excluding the question of what may rightfully be done to them. Such an account can contain knowledge and still be inadequate as an understanding of our relation to its subject. The mistake comes when its local success is presented as the authority of reason fully exercised. The unexamined purpose then borrows legitimacy from an accomplishment that never justified it. Our claim concerns that unwarranted completion: the conversion of a limited achievement into an acquittal of the undertaking.</w:t>
      </w:r>
    </w:p>
    <w:p>
      <w:r>
        <w:t>This is the disturbing possibility expressed by the image of science pandering to immorality. Discovery can feel like participation in revelation, an admission into the intelligibility of things. Scientific institutions can attach prestige to that experience while leaving the purposes served by the work outside the frame. The concern is a possible form of moral evasion, not an allegation that scientific inquiry as such is fraudulent. A true result can be made to reassure people about an unjust practice. The authority transferred from the result to the practice is precisely what has not been earned. Correctness becomes a protective credential when the demand for correction stops before reaching those who claim it.</w:t>
      </w:r>
    </w:p>
    <w:p>
      <w:r>
        <w:t>Plato’s account of the good supplies a deeper horizon for this question. In Republic VI, the good makes knowledge and truth possible and gives objects of knowledge their being, while exceeding being in rank and power. The passage does not identify the good with any correct proposition or private conviction. Its relevance is the refusal to make the good one more result within the field whose intelligibility it makes possible. This is not Kant’s theory of autonomy in another vocabulary. It enables a philosophical connection: inquiry depends on conditions of worth and intelligibility that it cannot adequately represent as one more successful output. [6]</w:t>
      </w:r>
    </w:p>
    <w:p>
      <w:r>
        <w:t>The good, correctness, and recognition are therefore already involved in ordinary life. We notice an evasion, hear a promise as a commitment, or judge that a gain cannot justify its cost to another person. These experiences do not dispense with argument. They explain why argument is necessary: what already guides us must become available for examination. We need not first possess a complete theory of goodness to be answerable for what we do. Nor does our dependence on inherited judgments relieve us of the task of discovering where they fail.</w:t>
      </w:r>
    </w:p>
    <w:p>
      <w:r>
        <w:t>The trace of a practical judgment names the persistence of an act of discernment through what it leaves available. Someone recognized what mattered and responded; a sentence, custom, arrangement, or acquired habit can carry consequences of that response beyond the original occasion. The trace is selective. It cannot reproduce every condition of its emergence, and the judgment it carries may itself have been flawed. Its value lies in making reasons and distinctions accessible to renewed judgment. A later recipient must be able to ask what the response answered to and whether those reasons still hold.</w:t>
      </w:r>
    </w:p>
    <w:p>
      <w:r>
        <w:t>Immaturation names a contraction of that capacity. A community may retain the approved formulations while becoming less able to understand their grounds, limits, and possible revisions. The trace remains effective as authority, yet its reception narrows into repetition. This is not simply ignorance, and it need not involve a decline in technical proficiency. Performance may improve within the accepted task as the capacity to question the task diminishes. Immaturation concerns a loss of formative range: the differences that can be encountered and allowed to change how judgment proceeds.</w:t>
      </w:r>
    </w:p>
    <w:p>
      <w:r>
        <w:t>Vision approaches this problem through the distinction between retention and availability. Its opening clinical discussion concerns recognizable elements that no longer belong together in an experienced event. Its later question asks whether improved task performance preserves the capacity for further revision. The clinical account does not establish a moral failure; the connection is structural and interpretive. Something can remain identifiable while its participation in an unfolding relation is impaired. Applied to practical judgment, this directs attention to whether an inherited distinction still enables discernment or survives principally as something one is expected to repeat. [7]</w:t>
      </w:r>
    </w:p>
    <w:p>
      <w:r>
        <w:t>Writing has a consequential place here. It preserves judgments beyond their first occasions and permits them to be encountered by people their authors could not anticipate. That survival can sustain inquiry, but it can also shelter conclusions from the activity that once justified them. Plato’s Phaedrus makes the difficulty vivid when written discourse appears to speak yet cannot answer questions on its own behalf. A language model changes the practical scene by producing further replies. The multiplication of replies leaves intact the demand to determine whether an objection has actually been understood. [8]</w:t>
      </w:r>
    </w:p>
    <w:p>
      <w:r>
        <w:t>The purpose of writing, on the account developed here, includes preserving the possibility of that determination. A judgment must be articulated with enough of its reasons, object, and circumstances for another person to enter the inquiry and discover where it requires correction. This is how an answer can carry forward more than an instruction to assent. Dignity gives the demand its most consequential limit: those implicated in our knowledge remain ends whose standing cannot be supplied or cancelled by our measure of success. The trace of a practical judgment sustains that answerability when it enables us to recognize anew what our inherited answers require of us.</w:t>
      </w:r>
    </w:p>
    <w:p>
      <w:pPr>
        <w:pStyle w:val="Heading1"/>
      </w:pPr>
      <w:r>
        <w:t>Source notes</w:t>
      </w:r>
    </w:p>
    <w:p>
      <w:pPr>
        <w:spacing w:after="200"/>
      </w:pPr>
      <w:r>
        <w:rPr>
          <w:sz w:val="20"/>
        </w:rPr>
        <w:t>1. Mostafa Azizi, Neural Networks and the Formation of Response, supplied manuscript. Technical background: David E. Rumelhart, Geoffrey E. Hinton, and Ronald J. Williams, “Learning representations by back-propagating errors,” Nature 323 (1986): 533–536. The present essay develops the manuscript’s argument; it does not re-evaluate the five preprints discussed in Vision.</w:t>
      </w:r>
      <w:r>
        <w:t xml:space="preserve"> </w:t>
      </w:r>
      <w:hyperlink r:id="rId9">
        <w:r>
          <w:rPr>
            <w:sz w:val="20"/>
          </w:rPr>
          <w:t>Online source</w:t>
        </w:r>
      </w:hyperlink>
    </w:p>
    <w:p>
      <w:pPr>
        <w:spacing w:after="200"/>
      </w:pPr>
      <w:r>
        <w:rPr>
          <w:sz w:val="20"/>
        </w:rPr>
        <w:t>2. Immanuel Kant, Critique of Pure Reason (1781/1787), B19; A133–134/B172–173; A835–837/B863–865. J. M. D. Meiklejohn translation consulted online. A and B refer to the pagination of the first and second German editions. The account of synthetic a priori judgment and the passages on rule application and philosophical learning should be distinguished from this essay’s extension of their implications.</w:t>
      </w:r>
      <w:r>
        <w:t xml:space="preserve"> </w:t>
      </w:r>
      <w:hyperlink r:id="rId10">
        <w:r>
          <w:rPr>
            <w:sz w:val="20"/>
          </w:rPr>
          <w:t>Online source</w:t>
        </w:r>
      </w:hyperlink>
    </w:p>
    <w:p>
      <w:pPr>
        <w:spacing w:after="200"/>
      </w:pPr>
      <w:r>
        <w:rPr>
          <w:sz w:val="20"/>
        </w:rPr>
        <w:t>3. Alenka Zupančič, Ethics of the Real: Kant, Lacan (London: Verso, 2000), 67, “From Logic of Illusion to Postulates.” Source: the page image supplied for this essay. Her quoted Kant passage is Critique of Pure Reason, A235–236/B294–295. The supplied page supports the discussion of transcendental illusion; it does not by itself establish a taxonomy of abstraction, nonsense, and incoherence.</w:t>
      </w:r>
    </w:p>
    <w:p>
      <w:pPr>
        <w:spacing w:after="200"/>
      </w:pPr>
      <w:r>
        <w:rPr>
          <w:sz w:val="20"/>
        </w:rPr>
        <w:t>4. Kant, Critique of Pure Reason, A98–110 and B129–169, especially B151–152. For a scholarly account of imagination and the editions, see Samantha Matherne, “Kant’s Theory of Imagination,” in The Routledge Handbook of Philosophy of Imagination, edited by Amy Kind (Routledge, 2016). The A/B comparison is presented here as a research question; the essay does not establish that the second edition is a regression.</w:t>
      </w:r>
      <w:r>
        <w:t xml:space="preserve"> </w:t>
      </w:r>
      <w:hyperlink r:id="rId11">
        <w:r>
          <w:rPr>
            <w:sz w:val="20"/>
          </w:rPr>
          <w:t>Online source</w:t>
        </w:r>
      </w:hyperlink>
    </w:p>
    <w:p>
      <w:pPr>
        <w:spacing w:after="200"/>
      </w:pPr>
      <w:r>
        <w:rPr>
          <w:sz w:val="20"/>
        </w:rPr>
        <w:t>5. Kant, Groundwork of the Metaphysics of Morals (1785), 4:428–429 and 4:433–436. Volume and page references follow the Akademie edition. Jonathan Bennett’s modernized English version was consulted; its “realm of ends” corresponds to the “kingdom of ends” used here. This essay grounds the discussion in rational nature and autonomy rather than equating dignity with social esteem.</w:t>
      </w:r>
      <w:r>
        <w:t xml:space="preserve"> </w:t>
      </w:r>
      <w:hyperlink r:id="rId12">
        <w:r>
          <w:rPr>
            <w:sz w:val="20"/>
          </w:rPr>
          <w:t>Online source</w:t>
        </w:r>
      </w:hyperlink>
    </w:p>
    <w:p>
      <w:pPr>
        <w:spacing w:after="200"/>
      </w:pPr>
      <w:r>
        <w:rPr>
          <w:sz w:val="20"/>
        </w:rPr>
        <w:t>6. Plato, Republic VI, 508e–509b, translated by David Horan, Platonic Foundation. The connection between the good and answerability is this essay’s interpretation; Plato’s good and Kantian dignity are not treated as identical doctrines.</w:t>
      </w:r>
      <w:r>
        <w:t xml:space="preserve"> </w:t>
      </w:r>
      <w:hyperlink r:id="rId13">
        <w:r>
          <w:rPr>
            <w:sz w:val="20"/>
          </w:rPr>
          <w:t>Online source</w:t>
        </w:r>
      </w:hyperlink>
    </w:p>
    <w:p>
      <w:pPr>
        <w:spacing w:after="200"/>
      </w:pPr>
      <w:r>
        <w:rPr>
          <w:sz w:val="20"/>
        </w:rPr>
        <w:t>7. Mostafa Azizi, Vision, supplied revised manuscript. The present essay draws on its philosophical account of retention, revision, and formative range. Merleau-Ponty’s clinical discussion is used through that manuscript, without making a clinical or moral diagnosis.</w:t>
      </w:r>
    </w:p>
    <w:p>
      <w:pPr>
        <w:spacing w:after="200"/>
      </w:pPr>
      <w:r>
        <w:rPr>
          <w:sz w:val="20"/>
        </w:rPr>
        <w:t>8. Plato, Phaedrus, 275d–e. This essay develops the writing analogy already articulated in Neural Networks and the Formation of Response.</w:t>
      </w:r>
      <w:r>
        <w:t xml:space="preserve"> </w:t>
      </w:r>
      <w:hyperlink r:id="rId14">
        <w:r>
          <w:rPr>
            <w:sz w:val="20"/>
          </w:rPr>
          <w:t>Online source</w:t>
        </w:r>
      </w:hyperlink>
    </w:p>
    <w:sectPr w:rsidR="00FC693F" w:rsidRPr="0006063C" w:rsidSect="00034616">
      <w:footerReference w:type="default" r:id="rId15"/>
      <w:pgSz w:w="12240" w:h="15840"/>
      <w:pgMar w:top="1224" w:right="1368" w:bottom="1224"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Cambria" w:hAnsi="Cambria"/>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mbria" w:hAnsi="Cambria"/>
      <w:b w:val="0"/>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Cambria" w:hAnsi="Cambria"/>
      <w:b w:val="0"/>
      <w:color w:val="000000"/>
      <w:spacing w:val="5"/>
      <w:kern w:val="28"/>
      <w:sz w:val="52"/>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mbria" w:hAnsi="Cambria"/>
      <w:b w:val="0"/>
      <w:i/>
      <w:iCs/>
      <w:color w:val="000000"/>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oi.org/10.1038/323533a0" TargetMode="External"/><Relationship Id="rId10" Type="http://schemas.openxmlformats.org/officeDocument/2006/relationships/hyperlink" Target="https://www.gutenberg.org/files/4280/4280-h/4280-h.htm" TargetMode="External"/><Relationship Id="rId11" Type="http://schemas.openxmlformats.org/officeDocument/2006/relationships/hyperlink" Target="https://philarchive.org/archive/MATKTO-5" TargetMode="External"/><Relationship Id="rId12" Type="http://schemas.openxmlformats.org/officeDocument/2006/relationships/hyperlink" Target="https://www.earlymoderntexts.com/assets/pdfs/kant1785.pdf" TargetMode="External"/><Relationship Id="rId13" Type="http://schemas.openxmlformats.org/officeDocument/2006/relationships/hyperlink" Target="https://www.platonicfoundation.org/translation/republic/" TargetMode="External"/><Relationship Id="rId14" Type="http://schemas.openxmlformats.org/officeDocument/2006/relationships/hyperlink" Target="https://www.gutenberg.org/files/1636/1636-h/1636-h.htm" TargetMode="Externa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Trace of Practical Judgment</dc:title>
  <dc:subject>Knowledge Dignity and Immaturation</dc:subject>
  <dc:creator>Mostafa Azizi</dc:creator>
  <cp:keywords/>
  <dc:description>generated by python-docx</dc:description>
  <cp:lastModifiedBy/>
  <cp:revision>1</cp:revision>
  <dcterms:created xsi:type="dcterms:W3CDTF">2013-12-23T23:15:00Z</dcterms:created>
  <dcterms:modified xsi:type="dcterms:W3CDTF">2013-12-23T23:15:00Z</dcterms:modified>
  <cp:category/>
</cp:coreProperties>
</file>