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Vision</w:t>
      </w:r>
    </w:p>
    <w:p>
      <w:pPr>
        <w:pStyle w:val="Subtitle"/>
      </w:pPr>
      <w:r>
        <w:t>Mostafa Azizi</w:t>
      </w:r>
    </w:p>
    <w:p>
      <w:pPr/>
      <w:r>
        <w:t xml:space="preserve">A bird is twittering in a garden. Someone hears it and knows what the sound is, yet the bird and its song no longer seem to belong together. Merleau-Ponty introduces this report in Phenomenology of Perception through the psychiatric writings of F. Fischer. Alongside it appears another disturbance: a person can no longer grasp the movement of a clock’s hands in relation to its mechanism. What ordinarily presents itself as an event has come apart. Merleau-Ponty’s interest is in the difference between retaining information and experiencing a coherent world. He interprets these disturbances through the body’s involvement in its surroundings and its orientation toward a future. These are clinical accounts he discusses, rather than cases he personally treated. </w:t>
      </w:r>
      <w:hyperlink r:id="rId9">
        <w:r>
          <w:rPr>
            <w:color w:val="333333"/>
            <w:u w:val="single"/>
          </w:rPr>
          <w:t>Merleau-Ponty, “Space,” pp. 328–330</w:t>
        </w:r>
      </w:hyperlink>
      <w:r>
        <w:t>.</w:t>
      </w:r>
    </w:p>
    <w:p>
      <w:pPr/>
      <w:r>
        <w:t>The opening question is therefore more exacting than how an observer recognizes an object. What makes a recognized thing belong to an occurrence? We can identify a speaker and understand the words while missing what someone is doing by speaking: warning, promising, asking, refusing. We can list every instrument in an orchestra without explaining the performance. Such examples direct attention to relations that an inventory leaves unstated. The explanatory task begins when we ask how the elements acquire their place, how that place can alter, and what allows an alteration in one part to matter elsewhere. Calling this organization gives the problem a name; it still leaves its accomplishment to be understood.</w:t>
      </w:r>
    </w:p>
    <w:p>
      <w:pPr/>
      <w:r>
        <w:t xml:space="preserve">Artificial learning provides a particularly exact setting in which to pursue that task. A neural network transforms an input through successive operations. Its connections have adjustable numerical strengths, or weights, and its intermediate activities supply representations for later processing. A loss function measures the output against a training objective. Backpropagation applies the chain rule backward through those operations to calculate how the loss depends on each parameter; an optimizer uses the resulting derivatives to change the weights. The important distinction is between calculating how to change a system and applying the change. In their influential 1986 paper, David Rumelhart, Geoffrey Hinton, and Ronald Williams showed how training could develop useful features in hidden units without separately prescribing every feature. </w:t>
      </w:r>
      <w:hyperlink r:id="rId10">
        <w:r>
          <w:rPr>
            <w:color w:val="333333"/>
            <w:u w:val="single"/>
          </w:rPr>
          <w:t>Rumelhart, Hinton, and Williams, “Learning representations”</w:t>
        </w:r>
      </w:hyperlink>
      <w:r>
        <w:t>.</w:t>
      </w:r>
    </w:p>
    <w:p>
      <w:pPr/>
      <w:r>
        <w:t>Imagine a network trained to distinguish photographs containing a doorway. A wrong answer alone is insufficient guidance for its earlier layers. The training procedure needs a way to relate that outcome to the transformations that produced it. Backpropagation calculates these dependencies. This gives the familiar experience of correction a demanding technical form: something must connect the consequence of an activity with a change in the conditions that made the activity possible. The general philosophical question can now be stated without treating a machine as a perceiving subject. Under what organization does an encountered difference become capable of transforming a capacity?</w:t>
      </w:r>
    </w:p>
    <w:p>
      <w:pPr/>
      <w:r>
        <w:t>The five papers considered here, read in their cited 2026 preprint versions, let us distinguish several parts of that question. They concern timing, the grouping of activities, the arrangement of dependencies, the expression of signed differences, and the interpretation of learned visual features. Their findings remain specific to their models and experiments. Together they support an inquiry into formation whose object includes the conditions of revision: when correction arrives, where it can act, and what allows its effects to travel. The task is to develop that inquiry while keeping mathematical dependence, biological implementation, and lived significance distinguishable.</w:t>
      </w:r>
    </w:p>
    <w:p>
      <w:pPr/>
      <w:r>
        <w:t>Learning first raises a problem of time. Consider practising a melody. An earlier note must remain consequential to the phrase, yet a musician also needs to meet the note arriving now. Correction has a similar requirement. A comment can be accurate and still arrive too late to help identify the gesture that needs changing. Retention, responsiveness, and revision therefore need to be considered together. A greater store of what has happened does not settle how that history participates in the next action. The relevant question is what the persistence of the past enables the learner to do.</w:t>
      </w:r>
    </w:p>
    <w:p>
      <w:pPr/>
      <w:r>
        <w:t xml:space="preserve">Shivang Rawat and colleagues investigate a precise version of this difficulty in continuous-time recurrent networks. Temporal integration supplies memory but can introduce lag and weaken corrective signals across deep stacks. Their prospective-input procedure incorporates a signal’s current value and local rate of change; its discrete implementation uses two input samples without adding trainable parameters. This is a causal adjustment to incoming information. Their analysis isolates a depth-dependent attenuation factor under spatial-only backpropagation, which cuts gradient paths through earlier recurrent states. Their experiments also compare prospective and conventional inputs under full backpropagation through time. The reported improvements concern the tested recurrent architectures and tasks; the authors do not establish a complete biological learning mechanism. </w:t>
      </w:r>
      <w:hyperlink r:id="rId11">
        <w:r>
          <w:rPr>
            <w:color w:val="333333"/>
            <w:u w:val="single"/>
          </w:rPr>
          <w:t>Rawat et al., “Prospective Coding,” §§1, 3–4, 6</w:t>
        </w:r>
      </w:hyperlink>
      <w:r>
        <w:t>.</w:t>
      </w:r>
    </w:p>
    <w:p>
      <w:pPr/>
      <w:r>
        <w:t>This suggests a useful distinction for our account of formation: something may persist without remaining usefully available. A retained influence can contribute to responsiveness, interfere with it, or become effective only under a different arrangement. The distinction concerns how a capacity operates in a situation. A musician does not need to erase the previous phrase to begin the next one; the acquired phrase must participate in a movement whose course remains adjustable. The philosophical interest of timing lies here. Formation has a temporal organization, and the opportunity to alter an activity cannot be inferred from the mere existence of a corrective signal.</w:t>
      </w:r>
    </w:p>
    <w:p>
      <w:pPr/>
      <w:r>
        <w:t>The next question concerns the scale at which correction acts. When revising a difficult essay, we distinguish arguments, sections, and paragraphs because each makes a different kind of work possible. A sentence may be impeccable locally while failing to perform the task its section requires. Conversely, a weak sentence may become easier to repair once the section’s function is clear. The grouping is consequential because it establishes an intermediate object of attention. It lets us work on something larger than an isolated element without requiring us to resolve the entire composition at once.</w:t>
      </w:r>
    </w:p>
    <w:p>
      <w:pPr/>
      <w:r>
        <w:t xml:space="preserve">Xueyuan Li and Danilo Vasconcellos Vargas study the order of hidden-state optimization in predictive-coding networks. Such networks expose intermediate activities and prediction errors, allowing activities to be adjusted before weights are updated. Their boundary-first schedule divides a network into consecutive chunks, coordinates the states at their boundaries, and then refines their interiors. In the tested networks, it improves on standard predictive coding and produces evidence of stronger early-layer changes. The experiments concern MNIST and CIFAR-10; their conclusions do not establish a general result for all local learning. The chunks are researcher-defined groups of layers, and the intervention concerns how their states are optimized. </w:t>
      </w:r>
      <w:hyperlink r:id="rId12">
        <w:r>
          <w:rPr>
            <w:color w:val="333333"/>
            <w:u w:val="single"/>
          </w:rPr>
          <w:t>Li and Vargas, “Hidden-State Optimization Order,” §§3–6</w:t>
        </w:r>
      </w:hyperlink>
      <w:r>
        <w:t>.</w:t>
      </w:r>
    </w:p>
    <w:p>
      <w:pPr/>
      <w:r>
        <w:t>We can call a grouping of this kind a provisional scale of formation. Its significance comes from the work it enables and from its connections to other scales. A boundary can establish where an adjustment should be coordinated; it need not simply mark where a self-contained object ends. This also changes how we understand the relation of parts and wholes. The whole need not be fully known before local work begins. An incomplete account of their relations can orient that work and itself become subject to revision. What deserves scrutiny is whether the provisional arrangement assists inquiry or silently prevents certain questions from becoming available.</w:t>
      </w:r>
    </w:p>
    <w:p>
      <w:pPr/>
      <w:r>
        <w:t xml:space="preserve">Plato gives this problem a historical articulation in the Phaedrus. Collection gathers dispersed cases under an intelligible form; division distinguishes their articulations without cutting arbitrarily. The discussion occurs in an examination of speeches on love and madness, where how a subject is gathered and divided affects the account that can be given of it. </w:t>
      </w:r>
      <w:hyperlink r:id="rId13">
        <w:r>
          <w:rPr>
            <w:color w:val="333333"/>
            <w:u w:val="single"/>
          </w:rPr>
          <w:t>Plato, Phaedrus 265d–266b</w:t>
        </w:r>
      </w:hyperlink>
      <w:r>
        <w:t>. Our comparison concerns the responsibility involved in organizing an inquiry. A division is justified by what it makes intelligible, and its convenience does not by itself prove its adequacy. In the same spirit, grouping should remain answerable to the differences it lets us discover. Otherwise an aid to inquiry becomes a restriction mistaken for the structure of the object.</w:t>
      </w:r>
    </w:p>
    <w:p>
      <w:pPr/>
      <w:r>
        <w:t>Once groups exist, their relations introduce another problem: what must each group wait for? Consider a collaboration in which every decision requires the completion of every earlier decision. The collaborators may be individually capable, yet their arrangement prevents them from exercising those capacities together. Adding more participants does not remove that dependency. To change the pace of the work, one must examine which dependencies are necessary, which can be reorganized, and how concurrently developed contributions will be brought into agreement. Organization affects the availability of capacity before it affects the magnitude of an individual effort.</w:t>
      </w:r>
    </w:p>
    <w:p>
      <w:pPr/>
      <w:r>
        <w:t xml:space="preserve">Neeraj Mohan Sushma and colleagues address learning dependencies in “Breaking chains with trees.” Their Hierarchical Block-Local Learning framework derives coordinated local objectives from a variational formulation and arranges blocks hierarchically, avoiding a single end-to-end gradient path. Its logarithmic complexity claim concerns ideal parallel computational span: the number of dependent stages under sufficient parallel resources. It does not imply that total work or elapsed training time falls logarithmically on every machine. The authors report competitive vision results and a remaining language-modeling gap against their end-to-end baseline. Local gradient calculations remain part of the method. </w:t>
      </w:r>
      <w:hyperlink r:id="rId14">
        <w:r>
          <w:rPr>
            <w:color w:val="333333"/>
            <w:u w:val="single"/>
          </w:rPr>
          <w:t>Sushma et al., “Breaking chains with trees,” §§1, 3–5</w:t>
        </w:r>
      </w:hyperlink>
      <w:r>
        <w:t>.</w:t>
      </w:r>
    </w:p>
    <w:p>
      <w:pPr/>
      <w:r>
        <w:t>The philosophical lesson we can propose is that dependence has a form. A system’s parts may depend on one another without every dependency having to take the form of one uninterrupted succession. Independence and coordination need not exhaust our choices. We can instead examine the routes through which distinct activities become jointly effective. This also separates hierarchy from an assumption of superior worth. A higher position in a diagram can designate a coordination task. Whether it also deserves greater authority, generality, or value is another question, requiring its own argument. The geometry of an arrangement cannot decide those matters for us.</w:t>
      </w:r>
    </w:p>
    <w:p>
      <w:pPr/>
      <w:r>
        <w:t>Timing, scale, and routing still leave a more elementary issue unresolved: how does a difference acquire a form that a system can use? Numerical correction requires direction as well as magnitude. In ordinary reasoning, too, “something changed” is insufficient unless the relevant alternatives can be distinguished. A missing expected sound, an unexpected sound, and a failed microphone may all demand different responses. Even identifying an absence requires care about what was expected, what was measured, and what conditions made the measurement possible. The operation of distinction deserves an account of its own.</w:t>
      </w:r>
    </w:p>
    <w:p>
      <w:pPr/>
      <w:r>
        <w:t xml:space="preserve">Roy Abel and Shimon Ullman approach signed computation under Dale’s constraint, which fixes a neuron’s outgoing connections as excitatory or inhibitory in the model. Their on–off architecture uses paired nonnegative channels to express signed quantities through their relation. The off channel can be active; its name does not mean that nothing occurs. Under specified linear/ReLU operations and aligned forward and feedback weights, their local learning rule recovers the backpropagation update. Matched updates preserve an existing alignment, while experiments test approximate alignment and noise. The result does not establish that arbitrary initial pathways will acquire the required agreement. </w:t>
      </w:r>
      <w:hyperlink r:id="rId15">
        <w:r>
          <w:rPr>
            <w:color w:val="333333"/>
            <w:u w:val="single"/>
          </w:rPr>
          <w:t>Abel and Ullman, “Dale’s Constraint,” §§3–5 and Appendix A.4</w:t>
        </w:r>
      </w:hyperlink>
      <w:r>
        <w:t>.</w:t>
      </w:r>
    </w:p>
    <w:p>
      <w:pPr/>
      <w:r>
        <w:t>This mechanism makes it especially important to distinguish a negative quantity, a negative assertion, and an absence. A number below zero is an available numerical value. A statement that a condition does not hold is an act of discrimination. An absent object is unavailable in the respect under discussion. Conflating these three senses would make the philosophical comparison easy and empty. Their more interesting relation is that an actual process may register a condition that does not obtain. A warning light indicating a missing component is present; the component remains absent. To explain the response, we examine the circuit and its dependency on that component rather than assigning a mysterious agency to nothingness.</w:t>
      </w:r>
    </w:p>
    <w:p>
      <w:pPr/>
      <w:r>
        <w:t xml:space="preserve">Parmenides makes the temptation to invoke what-is-not an explicit difficulty for thought. Fragments B2 and B8 restrict the route of inquiry through nonbeing and challenge accounts of what-is that depend on its coming from what-is-not. Yet absence should not be identified indiscriminately with this forbidden route: fragment B4 itself asks thought to attend to what is absent as firmly present. </w:t>
      </w:r>
      <w:hyperlink r:id="rId16">
        <w:r>
          <w:rPr>
            <w:color w:val="333333"/>
            <w:u w:val="single"/>
          </w:rPr>
          <w:t>Parmenides, fragments B2, B4, B8</w:t>
        </w:r>
      </w:hyperlink>
      <w:r>
        <w:t>. These passages make a demand on our terminology. Whenever absence enters an explanation, we should specify the respect in which something is absent and the relations through which that absence becomes consequential. A signal carrying a negative value offers no shortcut through that work.</w:t>
      </w:r>
    </w:p>
    <w:p>
      <w:pPr/>
      <w:r>
        <w:t xml:space="preserve">The Sophist adds a further resource. Plato’s Stranger examines negative predication through otherness and treats the possibility of discourse as dependent on the interweaving of kinds. Discernment concerns both their differences and their possible combinations. </w:t>
      </w:r>
      <w:hyperlink r:id="rId17">
        <w:r>
          <w:rPr>
            <w:color w:val="333333"/>
            <w:u w:val="single"/>
          </w:rPr>
          <w:t>Plato, Sophist 253d–e, 257b–259e</w:t>
        </w:r>
      </w:hyperlink>
      <w:r>
        <w:t>. This allows us to formulate the connection to operative absence more carefully. An absence becomes operative where an existing arrangement depends on what is unavailable: a promised reply, a required component, a condition of continuation. Some absences are detected; others change what can happen without being noticed. Registration is therefore one way an absence becomes actionable, rather than a condition of every effect attributed to absence. Our task is to identify the dependency and the change it makes possible or prevents.</w:t>
      </w:r>
    </w:p>
    <w:p>
      <w:pPr/>
      <w:r>
        <w:t>We now reach vision through a more developed question. If learning requires differences that can be acted upon, how do visual differences become available as recognizable features? A classifier may distinguish thousands of images while leaving us unable to explain what its intermediate activities track. There are two inquiries here: the system’s capacity to discriminate and the researcher’s capacity to understand that discrimination. Success in either does not automatically settle the other. Interpretability becomes especially demanding when an intelligible description is mistaken for a complete account of what a learned representation does.</w:t>
      </w:r>
    </w:p>
    <w:p>
      <w:pPr/>
      <w:r>
        <w:t xml:space="preserve">Yiming Tang and colleagues investigate a group-contrastive Forward–Forward method. Each layer learns through a local objective using positive and negative pairs; coarse categories guide pairing and route examples through class-specific neuron groups. Their interpretability experiments train modules on pretrained CLIP visual embeddings. The authors report coherent selectivity and a qualitative progression toward more abstract features. Their evaluation first selects promising neurons using similarity among highly activating images, then uses generated descriptions and language-model judgments. This supports a bounded finding about the semantic consistency of selected responses. It does not establish that each neuron has one exclusive meaning across every possible input or that the module supplies a causal explanation of the original model’s decisions. </w:t>
      </w:r>
      <w:hyperlink r:id="rId18">
        <w:r>
          <w:rPr>
            <w:color w:val="333333"/>
            <w:u w:val="single"/>
          </w:rPr>
          <w:t>Tang et al., “Group-Contrastive Forward–Forward,” §§3–4</w:t>
        </w:r>
      </w:hyperlink>
      <w:r>
        <w:t>.</w:t>
      </w:r>
    </w:p>
    <w:p>
      <w:pPr/>
      <w:r>
        <w:t>What is philosophically productive here is the question of inheritance. When an organization emerges during training, what was already supplied by its representations, categories, and arrangement? An adequate explanation of emergence should identify both the contribution of the learning procedure and the conditions on which it draws. A reader entering an unfamiliar discipline encounters a similar question: a new distinction may become intelligible through an inherited vocabulary whose assumptions remain unnoticed. The distinction can be an achievement without being an absolute beginning. Formation can transform what it receives, and understanding that transformation requires an account of the received organization.</w:t>
      </w:r>
    </w:p>
    <w:p>
      <w:pPr/>
      <w:r>
        <w:t>“Consolidating vision” can consequently name several different achievements. Identifying a category across photographs differs from following one object through a changing encounter. Both differ from recognizing a practical possibility. A doorway may be correctly classified in an image while its relevance to an approaching body remains wholly unspecified. Is it wide enough to enter? Is it opening or closing? Does a change in position disclose an obstacle beyond it? Each question introduces a different relation between what is available now and what further exploration might reveal. A general claim that vision has become coherent must say which of these relations has been accomplished.</w:t>
      </w:r>
    </w:p>
    <w:p>
      <w:pPr/>
      <w:r>
        <w:t xml:space="preserve">Gibson’s ecological approach makes this distinction consequential. In The Ecological Approach to Visual Perception, natural vision belongs to eyes in a head on a moving body within an environment. Structured changes in available light can specify environmental layout and movement; invariance need not mean an unchanging image. Affordances concern what an environment offers relative to an animal. Perceptual learning includes an education of attention through which previously unnoticed differences become discriminable. Gibson therefore challenges the assumption that perceptual order must be reconstructed internally from impoverished sensations. </w:t>
      </w:r>
      <w:hyperlink r:id="rId19">
        <w:r>
          <w:rPr>
            <w:color w:val="333333"/>
            <w:u w:val="single"/>
          </w:rPr>
          <w:t>Gibson, Introduction, chapters 8 and 14, Appendix 2</w:t>
        </w:r>
      </w:hyperlink>
      <w:r>
        <w:t>.</w:t>
      </w:r>
    </w:p>
    <w:p>
      <w:pPr/>
      <w:r>
        <w:t>This challenges where we locate the problem of formation. If movement makes further information available, the learner’s organization includes its ways of exploring. It matters which changes of position it can undertake, which consequences of action it can detect, and whether an unsuccessful encounter can redirect subsequent attention. On this reading, we should ask what becomes available through a changing relation between a perceiver and its surroundings. An improvement measured on a fixed collection of images may answer one question precisely while leaving this wider relation unexamined. The distinction supplies a further research problem: which capacities survive when the encounter changes?</w:t>
      </w:r>
    </w:p>
    <w:p>
      <w:pPr/>
      <w:r>
        <w:t>We can now state the argument that has developed across the five papers. A learning system requires arrangements through which differences become consequential to its own activity. The philosophical claim is that formation includes the establishment and revision of those arrangements. This claim directs us toward a second question whenever performance improves: what has happened to the capacity for further change? Greater accuracy on a defined task is a real accomplishment, but it does not alone tell us whether a system can discover a new distinction, revise an inherited grouping, or respond to a condition outside the situations in which it was trained. Those capacities require their own evidence.</w:t>
      </w:r>
    </w:p>
    <w:p>
      <w:pPr/>
      <w:r>
        <w:t>Here range acquires a precise role in our inquiry. By formative range we can mean the differences an organization can encounter, register, and use to alter its activity. This is a proposed philosophical concept, not a metric measured by the five papers. Its value is that it directs attention to accessible transformations. There can be good reasons to maximize accuracy, speed, or reliability. The error begins when excellence along one measure is allowed to answer every question about development. A system can improve at a task while its opportunities for further revision remain unchanged or narrow. Whether that has occurred must be investigated, rather than inferred from either praise of optimization or suspicion of it.</w:t>
      </w:r>
    </w:p>
    <w:p>
      <w:pPr/>
      <w:r>
        <w:t>Returning to the garden, the question is what it takes for a bird’s song to belong to an unfolding encounter. The example has guided us from recognizable elements toward the relations that let a situation hold together. Learning brings another requirement into view: those relations must sometimes change. An adequate account of vision must therefore make room for both coherence and its revision, for the ability to recognize something and the ability to discover that the encounter demands another way of seeing. The next question concerns how an organization can sustain that possibility of discovery: how what has already become intelligible can remain open to what it has not yet learned to distinguish.</w:t>
      </w:r>
    </w:p>
    <w:p>
      <w:pPr>
        <w:pStyle w:val="Heading1"/>
        <w:pageBreakBefore/>
      </w:pPr>
      <w:r>
        <w:t>Source notes</w:t>
      </w:r>
    </w:p>
    <w:p>
      <w:pPr>
        <w:pStyle w:val="SourceNote"/>
      </w:pPr>
      <w:r>
        <w:t xml:space="preserve">Merleau-Ponty, Maurice. Phenomenology of Perception. Originally published 1945; translated by Colin Smith. Routledge Classics, 2002, Part II, chapter II, pp. 328–330; references to F. Fischer at p. 329, notes 56–57. Fischer’s original papers were not independently consulted. </w:t>
      </w:r>
      <w:hyperlink r:id="rId9">
        <w:r>
          <w:rPr>
            <w:color w:val="333333"/>
            <w:u w:val="single"/>
          </w:rPr>
          <w:t>Text consulted</w:t>
        </w:r>
      </w:hyperlink>
      <w:r>
        <w:t>.</w:t>
      </w:r>
    </w:p>
    <w:p>
      <w:pPr>
        <w:pStyle w:val="SourceNote"/>
      </w:pPr>
      <w:r>
        <w:t xml:space="preserve">Rumelhart, David E., Geoffrey E. Hinton, and Ronald J. Williams. “Learning representations by back-propagating errors.” Nature 323 (9 October 1986): 533–536. DOI: 10.1038/323533a0. Publisher abstract and bibliographic record consulted. </w:t>
      </w:r>
      <w:hyperlink r:id="rId10">
        <w:r>
          <w:rPr>
            <w:color w:val="333333"/>
            <w:u w:val="single"/>
          </w:rPr>
          <w:t>Nature</w:t>
        </w:r>
      </w:hyperlink>
      <w:r>
        <w:t>.</w:t>
      </w:r>
    </w:p>
    <w:p>
      <w:pPr>
        <w:pStyle w:val="SourceNote"/>
      </w:pPr>
      <w:r>
        <w:t xml:space="preserve">Rawat, Shivang, Mirko Morello, Flaviano Morone, and David J. Heeger. “Prospective Coding Improves Learning in Deep Continuous-Time Recurrent Networks.” arXiv:2609.04134v1, 3 September 2026. </w:t>
      </w:r>
      <w:hyperlink r:id="rId11">
        <w:r>
          <w:rPr>
            <w:color w:val="333333"/>
            <w:u w:val="single"/>
          </w:rPr>
          <w:t>Primary paper</w:t>
        </w:r>
      </w:hyperlink>
      <w:r>
        <w:t>.</w:t>
      </w:r>
    </w:p>
    <w:p>
      <w:pPr>
        <w:pStyle w:val="SourceNote"/>
      </w:pPr>
      <w:r>
        <w:t xml:space="preserve">Li, Xueyuan, and Danilo Vasconcellos Vargas. “A Study of Hidden-State Optimization Order in Predictive Coding Networks.” arXiv:2609.00686v1, 1 September 2026. </w:t>
      </w:r>
      <w:hyperlink r:id="rId12">
        <w:r>
          <w:rPr>
            <w:color w:val="333333"/>
            <w:u w:val="single"/>
          </w:rPr>
          <w:t>Primary paper</w:t>
        </w:r>
      </w:hyperlink>
      <w:r>
        <w:t>.</w:t>
      </w:r>
    </w:p>
    <w:p>
      <w:pPr>
        <w:pStyle w:val="SourceNote"/>
      </w:pPr>
      <w:r>
        <w:t xml:space="preserve">Sushma, Neeraj Mohan, Aditya Nagarsekar, Cabrel Teguemne Fokam, Robin Schiewer, Amit Kumar Pal, Anand Subramoney, and David Kappel. “Breaking chains with trees: Deep learning with O(log N) parallel time complexity.” arXiv:2606.21497v1, 19 June 2026. This essay follows the cited version’s HBLL terminology. </w:t>
      </w:r>
      <w:hyperlink r:id="rId14">
        <w:r>
          <w:rPr>
            <w:color w:val="333333"/>
            <w:u w:val="single"/>
          </w:rPr>
          <w:t>Primary paper</w:t>
        </w:r>
      </w:hyperlink>
      <w:r>
        <w:t>.</w:t>
      </w:r>
    </w:p>
    <w:p>
      <w:pPr>
        <w:pStyle w:val="SourceNote"/>
      </w:pPr>
      <w:r>
        <w:t xml:space="preserve">Abel, Roy, and Shimon Ullman. “Learning in Deep Networks under Dale’s Constraint.” arXiv:2608.06963, version 1, 7 August 2026. </w:t>
      </w:r>
      <w:hyperlink r:id="rId15">
        <w:r>
          <w:rPr>
            <w:color w:val="333333"/>
            <w:u w:val="single"/>
          </w:rPr>
          <w:t>Primary paper</w:t>
        </w:r>
      </w:hyperlink>
      <w:r>
        <w:t>.</w:t>
      </w:r>
    </w:p>
    <w:p>
      <w:pPr>
        <w:pStyle w:val="SourceNote"/>
      </w:pPr>
      <w:r>
        <w:t xml:space="preserve">Tang, Yiming, Qinglin Qi, Zhaoqian Yao, Harshvardhan Saini, and Dianbo Liu. “Emergent Hierarchical Monosemantic Neurons from the Group-Contrastive Forward-Forward Algorithm.” arXiv:2607.16295v1, 13 July 2026. </w:t>
      </w:r>
      <w:hyperlink r:id="rId18">
        <w:r>
          <w:rPr>
            <w:color w:val="333333"/>
            <w:u w:val="single"/>
          </w:rPr>
          <w:t>Primary paper</w:t>
        </w:r>
      </w:hyperlink>
      <w:r>
        <w:t>.</w:t>
      </w:r>
    </w:p>
    <w:p>
      <w:pPr>
        <w:pStyle w:val="SourceNote"/>
      </w:pPr>
      <w:r>
        <w:t xml:space="preserve">Plato. Phaedrus, 265d–266b, translated by Benjamin Jowett; Project Gutenberg text. </w:t>
      </w:r>
      <w:hyperlink r:id="rId13">
        <w:r>
          <w:rPr>
            <w:color w:val="333333"/>
            <w:u w:val="single"/>
          </w:rPr>
          <w:t>Phaedrus</w:t>
        </w:r>
      </w:hyperlink>
      <w:r>
        <w:t xml:space="preserve">. Sophist, 253d–e, 257b–259e, translated by David Horan; Platonic Foundation, online version dated 6 November 2025. </w:t>
      </w:r>
      <w:hyperlink r:id="rId17">
        <w:r>
          <w:rPr>
            <w:color w:val="333333"/>
            <w:u w:val="single"/>
          </w:rPr>
          <w:t>Sophist</w:t>
        </w:r>
      </w:hyperlink>
      <w:r>
        <w:t>.</w:t>
      </w:r>
    </w:p>
    <w:p>
      <w:pPr>
        <w:pStyle w:val="SourceNote"/>
      </w:pPr>
      <w:r>
        <w:t xml:space="preserve">Parmenides. Surviving poem, fragments B2, B4, and B8 in Diels–Kranz numbering. Translation and alternatives by Rose Cherubin, 2005, revised 2014, George Mason University. </w:t>
      </w:r>
      <w:hyperlink r:id="rId16">
        <w:r>
          <w:rPr>
            <w:color w:val="333333"/>
            <w:u w:val="single"/>
          </w:rPr>
          <w:t>Fragments</w:t>
        </w:r>
      </w:hyperlink>
      <w:r>
        <w:t>.</w:t>
      </w:r>
    </w:p>
    <w:p>
      <w:pPr>
        <w:pStyle w:val="SourceNote"/>
      </w:pPr>
      <w:r>
        <w:t xml:space="preserve">Gibson, James J. The Ecological Approach to Visual Perception. Originally published 1979; Classic Edition, Psychology Press, 2015. Introduction, p. xiii; chapter 8, pp. 119–121; chapter 14, p. 243; Appendix 2, pp. 297–298. </w:t>
      </w:r>
      <w:hyperlink r:id="rId19">
        <w:r>
          <w:rPr>
            <w:color w:val="333333"/>
            <w:u w:val="single"/>
          </w:rPr>
          <w:t>Text consulted</w:t>
        </w:r>
      </w:hyperlink>
      <w:r>
        <w:t>.</w:t>
      </w:r>
    </w:p>
    <w:p>
      <w:pPr>
        <w:pStyle w:val="SourceNote"/>
      </w:pPr>
      <w:r>
        <w:t>Research completed 7 September 2026. Technical findings are attributed to the authors of the cited preprints; independent replication and mathematical proof verification were outside the scope of this revision. The connections to formation, operative absence, and formative range are the essay’s philosophical proposals.</w:t>
      </w:r>
    </w:p>
    <w:sectPr w:rsidR="00FC693F" w:rsidRPr="0006063C" w:rsidSect="00034616">
      <w:footerReference w:type="default" r:id="rI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sz w:val="18"/>
      </w:rPr>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60" w:line="320" w:lineRule="auto"/>
      <w:jc w:val="both"/>
    </w:pPr>
    <w:rPr>
      <w:rFonts w:ascii="Cambria" w:hAnsi="Cambria"/>
      <w:b w:val="0"/>
      <w:i w:val="0"/>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60" w:after="200" w:line="320" w:lineRule="auto"/>
      <w:outlineLvl w:val="0"/>
    </w:pPr>
    <w:rPr>
      <w:rFonts w:ascii="Cambria" w:hAnsi="Cambria"/>
      <w:b w:val="0"/>
      <w:bCs/>
      <w:i w:val="0"/>
      <w:color w:val="000000"/>
      <w:sz w:val="32"/>
      <w:szCs w:val="28"/>
    </w:rPr>
  </w:style>
  <w:style w:type="paragraph" w:styleId="Heading2">
    <w:name w:val="heading 2"/>
    <w:basedOn w:val="Normal"/>
    <w:next w:val="Normal"/>
    <w:link w:val="Heading2Char"/>
    <w:uiPriority w:val="9"/>
    <w:unhideWhenUsed/>
    <w:qFormat/>
    <w:rsid w:val="00FC693F"/>
    <w:pPr>
      <w:keepNext/>
      <w:keepLines/>
      <w:widowControl/>
      <w:spacing w:before="240" w:after="120" w:line="320" w:lineRule="auto"/>
      <w:outlineLvl w:val="1"/>
    </w:pPr>
    <w:rPr>
      <w:rFonts w:ascii="Cambria" w:hAnsi="Cambria"/>
      <w:b w:val="0"/>
      <w:bCs/>
      <w:i w:val="0"/>
      <w:color w:val="000000"/>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line="320" w:lineRule="auto"/>
      <w:outlineLvl w:val="2"/>
    </w:pPr>
    <w:rPr>
      <w:rFonts w:ascii="Cambria" w:hAnsi="Cambria"/>
      <w:b w:val="0"/>
      <w:bCs/>
      <w:i w:val="0"/>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60" w:line="320" w:lineRule="auto" w:before="0"/>
      <w:contextualSpacing/>
      <w:jc w:val="center"/>
    </w:pPr>
    <w:rPr>
      <w:rFonts w:ascii="Cambria" w:hAnsi="Cambria"/>
      <w:b w:val="0"/>
      <w:i w:val="0"/>
      <w:color w:val="000000"/>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widowControl/>
      <w:numPr>
        <w:ilvl w:val="1"/>
      </w:numPr>
      <w:spacing w:before="0" w:after="360" w:line="320" w:lineRule="auto"/>
      <w:jc w:val="center"/>
    </w:pPr>
    <w:rPr>
      <w:rFonts w:ascii="Cambria" w:hAnsi="Cambria"/>
      <w:b w:val="0"/>
      <w:i w:val="0"/>
      <w:iCs/>
      <w:color w:val="00000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basedOn w:val="Normal"/>
    <w:pPr>
      <w:spacing w:line="276" w:lineRule="auto" w:after="140"/>
      <w:jc w:val="left"/>
    </w:pPr>
    <w:rPr>
      <w:rFonts w:ascii="Cambria" w:hAnsi="Cambria"/>
      <w:b w:val="0"/>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idnetwork.gr/wp-content/uploads/2016/09/Phenomenology-of-Perception-by-Maurice-Merleau-Ponty.pdf" TargetMode="External"/><Relationship Id="rId10" Type="http://schemas.openxmlformats.org/officeDocument/2006/relationships/hyperlink" Target="https://www.nature.com/articles/323533a0" TargetMode="External"/><Relationship Id="rId11" Type="http://schemas.openxmlformats.org/officeDocument/2006/relationships/hyperlink" Target="https://arxiv.org/html/2609.04134v1" TargetMode="External"/><Relationship Id="rId12" Type="http://schemas.openxmlformats.org/officeDocument/2006/relationships/hyperlink" Target="https://arxiv.org/html/2609.00686v1" TargetMode="External"/><Relationship Id="rId13" Type="http://schemas.openxmlformats.org/officeDocument/2006/relationships/hyperlink" Target="https://www.gutenberg.org/files/1636/1636-h/1636-h.htm" TargetMode="External"/><Relationship Id="rId14" Type="http://schemas.openxmlformats.org/officeDocument/2006/relationships/hyperlink" Target="https://arxiv.org/html/2606.21497v1" TargetMode="External"/><Relationship Id="rId15" Type="http://schemas.openxmlformats.org/officeDocument/2006/relationships/hyperlink" Target="https://arxiv.org/html/2608.06963" TargetMode="External"/><Relationship Id="rId16" Type="http://schemas.openxmlformats.org/officeDocument/2006/relationships/hyperlink" Target="https://mason.gmu.edu/~rcherubi/poem4.html" TargetMode="External"/><Relationship Id="rId17" Type="http://schemas.openxmlformats.org/officeDocument/2006/relationships/hyperlink" Target="https://www.platonicfoundation.org/translation/sophist/" TargetMode="External"/><Relationship Id="rId18" Type="http://schemas.openxmlformats.org/officeDocument/2006/relationships/hyperlink" Target="https://arxiv.org/html/2607.16295v1" TargetMode="External"/><Relationship Id="rId19" Type="http://schemas.openxmlformats.org/officeDocument/2006/relationships/hyperlink" Target="https://memoof.me/download/1058/pdf/1058.pdf"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Vision</dc:title>
  <dc:subject>Perception, learning, and the conditions of formation</dc:subject>
  <dc:creator>Mostafa Azizi</dc:creator>
  <cp:keywords/>
  <dc:description>generated by python-docx</dc:description>
  <cp:lastModifiedBy/>
  <cp:revision>1</cp:revision>
  <dcterms:created xsi:type="dcterms:W3CDTF">2013-12-23T23:15:00Z</dcterms:created>
  <dcterms:modified xsi:type="dcterms:W3CDTF">2013-12-23T23:15:00Z</dcterms:modified>
  <cp:category/>
</cp:coreProperties>
</file>